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E434ED" w14:textId="6EA11D83" w:rsidR="00A56D4B" w:rsidRPr="00D56247" w:rsidRDefault="00A56D4B" w:rsidP="00A56D4B">
      <w:pPr>
        <w:tabs>
          <w:tab w:val="center" w:pos="4536"/>
          <w:tab w:val="right" w:pos="7938"/>
          <w:tab w:val="right" w:pos="9639"/>
        </w:tabs>
        <w:ind w:right="2"/>
        <w:rPr>
          <w:rFonts w:cs="Arial"/>
          <w:b/>
          <w:bCs/>
          <w:sz w:val="24"/>
          <w:szCs w:val="18"/>
        </w:rPr>
      </w:pPr>
      <w:r w:rsidRPr="00D56247">
        <w:rPr>
          <w:rFonts w:cs="Arial"/>
          <w:b/>
          <w:bCs/>
          <w:sz w:val="24"/>
          <w:szCs w:val="18"/>
        </w:rPr>
        <w:t>3GPP TSG RAN WG1 #</w:t>
      </w:r>
      <w:r w:rsidR="00134B59" w:rsidRPr="00D56247">
        <w:rPr>
          <w:rFonts w:cs="Arial"/>
          <w:b/>
          <w:bCs/>
          <w:sz w:val="24"/>
          <w:szCs w:val="18"/>
        </w:rPr>
        <w:t>10</w:t>
      </w:r>
      <w:r w:rsidR="00134B59">
        <w:rPr>
          <w:rFonts w:cs="Arial"/>
          <w:b/>
          <w:bCs/>
          <w:sz w:val="24"/>
          <w:szCs w:val="18"/>
        </w:rPr>
        <w:t>7</w:t>
      </w:r>
      <w:r w:rsidRPr="00D56247">
        <w:rPr>
          <w:rFonts w:cs="Arial"/>
          <w:b/>
          <w:bCs/>
          <w:sz w:val="24"/>
          <w:szCs w:val="18"/>
        </w:rPr>
        <w:t>-e</w:t>
      </w:r>
      <w:r w:rsidRPr="00D56247">
        <w:rPr>
          <w:rFonts w:cs="Arial"/>
          <w:b/>
          <w:bCs/>
          <w:sz w:val="24"/>
          <w:szCs w:val="18"/>
        </w:rPr>
        <w:tab/>
      </w:r>
      <w:proofErr w:type="gramStart"/>
      <w:r w:rsidRPr="00D56247">
        <w:rPr>
          <w:rFonts w:cs="Arial"/>
          <w:b/>
          <w:bCs/>
          <w:sz w:val="24"/>
          <w:szCs w:val="18"/>
        </w:rPr>
        <w:tab/>
        <w:t xml:space="preserve">  </w:t>
      </w:r>
      <w:r w:rsidRPr="00D56247">
        <w:rPr>
          <w:rFonts w:cs="Arial"/>
          <w:b/>
          <w:bCs/>
          <w:sz w:val="24"/>
          <w:szCs w:val="18"/>
        </w:rPr>
        <w:tab/>
      </w:r>
      <w:proofErr w:type="gramEnd"/>
      <w:r w:rsidRPr="00D56247">
        <w:rPr>
          <w:rFonts w:cs="Arial"/>
          <w:b/>
          <w:bCs/>
          <w:sz w:val="24"/>
          <w:szCs w:val="18"/>
        </w:rPr>
        <w:t>R1-</w:t>
      </w:r>
      <w:r w:rsidR="008029C6" w:rsidRPr="00D56247">
        <w:rPr>
          <w:rFonts w:cs="Arial"/>
          <w:b/>
          <w:bCs/>
          <w:sz w:val="24"/>
          <w:szCs w:val="18"/>
        </w:rPr>
        <w:t>21</w:t>
      </w:r>
      <w:r w:rsidR="008029C6">
        <w:rPr>
          <w:rFonts w:cs="Arial"/>
          <w:b/>
          <w:bCs/>
          <w:sz w:val="24"/>
          <w:szCs w:val="18"/>
        </w:rPr>
        <w:t>11823</w:t>
      </w:r>
    </w:p>
    <w:p w14:paraId="7ECF5138" w14:textId="082FAA37" w:rsidR="00A56D4B" w:rsidRPr="00D56247" w:rsidRDefault="00A56D4B" w:rsidP="00A56D4B">
      <w:pPr>
        <w:tabs>
          <w:tab w:val="center" w:pos="4536"/>
          <w:tab w:val="right" w:pos="9072"/>
        </w:tabs>
        <w:rPr>
          <w:rFonts w:eastAsia="MS Mincho" w:cs="Arial"/>
          <w:b/>
          <w:bCs/>
          <w:sz w:val="24"/>
          <w:szCs w:val="18"/>
          <w:lang w:eastAsia="ja-JP"/>
        </w:rPr>
      </w:pPr>
      <w:r w:rsidRPr="00D56247">
        <w:rPr>
          <w:rFonts w:eastAsia="MS Mincho" w:cs="Arial"/>
          <w:b/>
          <w:bCs/>
          <w:sz w:val="24"/>
          <w:szCs w:val="18"/>
          <w:lang w:eastAsia="ja-JP"/>
        </w:rPr>
        <w:t xml:space="preserve">e-Meeting, </w:t>
      </w:r>
      <w:r w:rsidR="00134B59">
        <w:rPr>
          <w:rFonts w:eastAsia="MS Mincho" w:cs="Arial"/>
          <w:b/>
          <w:bCs/>
          <w:sz w:val="24"/>
          <w:szCs w:val="18"/>
          <w:lang w:eastAsia="ja-JP"/>
        </w:rPr>
        <w:t>November</w:t>
      </w:r>
      <w:r w:rsidR="00AB3F44" w:rsidRPr="00D56247">
        <w:rPr>
          <w:rFonts w:eastAsia="MS Mincho" w:cs="Arial"/>
          <w:b/>
          <w:bCs/>
          <w:sz w:val="24"/>
          <w:szCs w:val="18"/>
          <w:lang w:eastAsia="ja-JP"/>
        </w:rPr>
        <w:t xml:space="preserve"> </w:t>
      </w:r>
      <w:r w:rsidRPr="00D56247">
        <w:rPr>
          <w:rFonts w:eastAsia="MS Mincho" w:cs="Arial"/>
          <w:b/>
          <w:bCs/>
          <w:sz w:val="24"/>
          <w:szCs w:val="18"/>
          <w:lang w:eastAsia="ja-JP"/>
        </w:rPr>
        <w:t>1</w:t>
      </w:r>
      <w:r w:rsidR="00AB3F44">
        <w:rPr>
          <w:rFonts w:eastAsia="MS Mincho" w:cs="Arial"/>
          <w:b/>
          <w:bCs/>
          <w:sz w:val="24"/>
          <w:szCs w:val="18"/>
          <w:lang w:eastAsia="ja-JP"/>
        </w:rPr>
        <w:t>1</w:t>
      </w:r>
      <w:r w:rsidRPr="00D56247">
        <w:rPr>
          <w:rFonts w:eastAsia="MS Mincho" w:cs="Arial"/>
          <w:b/>
          <w:bCs/>
          <w:sz w:val="24"/>
          <w:szCs w:val="18"/>
          <w:vertAlign w:val="superscript"/>
          <w:lang w:eastAsia="ja-JP"/>
        </w:rPr>
        <w:t>th</w:t>
      </w:r>
      <w:r w:rsidRPr="00D56247">
        <w:rPr>
          <w:rFonts w:eastAsia="MS Mincho" w:cs="Arial"/>
          <w:b/>
          <w:bCs/>
          <w:sz w:val="24"/>
          <w:szCs w:val="18"/>
          <w:lang w:eastAsia="ja-JP"/>
        </w:rPr>
        <w:t xml:space="preserve"> – </w:t>
      </w:r>
      <w:r w:rsidR="00AB3F44">
        <w:rPr>
          <w:rFonts w:eastAsia="MS Mincho" w:cs="Arial"/>
          <w:b/>
          <w:bCs/>
          <w:sz w:val="24"/>
          <w:szCs w:val="18"/>
          <w:lang w:eastAsia="ja-JP"/>
        </w:rPr>
        <w:t>19</w:t>
      </w:r>
      <w:r w:rsidR="00AB3F44" w:rsidRPr="00D56247">
        <w:rPr>
          <w:rFonts w:eastAsia="MS Mincho" w:cs="Arial"/>
          <w:b/>
          <w:bCs/>
          <w:sz w:val="24"/>
          <w:szCs w:val="18"/>
          <w:vertAlign w:val="superscript"/>
          <w:lang w:eastAsia="ja-JP"/>
        </w:rPr>
        <w:t>th</w:t>
      </w:r>
      <w:r w:rsidRPr="00D56247">
        <w:rPr>
          <w:rFonts w:eastAsia="MS Mincho" w:cs="Arial"/>
          <w:b/>
          <w:bCs/>
          <w:sz w:val="24"/>
          <w:szCs w:val="18"/>
          <w:lang w:eastAsia="ja-JP"/>
        </w:rPr>
        <w:t>, 2021</w:t>
      </w:r>
    </w:p>
    <w:p w14:paraId="4AA55D4D" w14:textId="77777777" w:rsidR="00E30291" w:rsidRPr="00B414B8" w:rsidRDefault="00E30291" w:rsidP="00214E6A">
      <w:pPr>
        <w:pStyle w:val="3GPPHeader"/>
        <w:rPr>
          <w:sz w:val="22"/>
          <w:szCs w:val="22"/>
        </w:rPr>
      </w:pPr>
    </w:p>
    <w:p w14:paraId="7AD14354" w14:textId="2E8BF792" w:rsidR="00214E6A" w:rsidRPr="00412DF3" w:rsidRDefault="00214E6A" w:rsidP="000A1519">
      <w:pPr>
        <w:pStyle w:val="3GPPHeader"/>
        <w:spacing w:after="120"/>
        <w:rPr>
          <w:sz w:val="22"/>
          <w:szCs w:val="22"/>
          <w:lang w:val="sv-SE"/>
        </w:rPr>
      </w:pPr>
      <w:r w:rsidRPr="00412DF3">
        <w:rPr>
          <w:sz w:val="22"/>
          <w:szCs w:val="22"/>
          <w:lang w:val="sv-SE"/>
        </w:rPr>
        <w:t>Agenda Item:</w:t>
      </w:r>
      <w:r w:rsidRPr="00412DF3">
        <w:rPr>
          <w:sz w:val="22"/>
          <w:szCs w:val="22"/>
          <w:lang w:val="sv-SE"/>
        </w:rPr>
        <w:tab/>
      </w:r>
      <w:r w:rsidR="00D91E82">
        <w:rPr>
          <w:sz w:val="22"/>
          <w:szCs w:val="22"/>
          <w:lang w:val="sv-SE"/>
        </w:rPr>
        <w:t>8.4.4</w:t>
      </w:r>
    </w:p>
    <w:p w14:paraId="4910E89F" w14:textId="1E30575B" w:rsidR="00214E6A" w:rsidRPr="00721025" w:rsidRDefault="00214E6A" w:rsidP="000A1519">
      <w:pPr>
        <w:pStyle w:val="3GPPHeader"/>
        <w:spacing w:after="120"/>
        <w:rPr>
          <w:sz w:val="22"/>
          <w:szCs w:val="22"/>
          <w:lang w:val="en-US"/>
        </w:rPr>
      </w:pPr>
      <w:r w:rsidRPr="00721025">
        <w:rPr>
          <w:sz w:val="22"/>
          <w:szCs w:val="22"/>
          <w:lang w:val="en-US"/>
        </w:rPr>
        <w:t>Source:</w:t>
      </w:r>
      <w:r w:rsidRPr="00721025">
        <w:rPr>
          <w:sz w:val="22"/>
          <w:szCs w:val="22"/>
          <w:lang w:val="en-US"/>
        </w:rPr>
        <w:tab/>
      </w:r>
      <w:proofErr w:type="spellStart"/>
      <w:r w:rsidRPr="00721025">
        <w:rPr>
          <w:sz w:val="22"/>
          <w:szCs w:val="22"/>
          <w:lang w:val="en-US"/>
        </w:rPr>
        <w:t>InterDigital</w:t>
      </w:r>
      <w:proofErr w:type="spellEnd"/>
      <w:r w:rsidR="000A1519">
        <w:rPr>
          <w:sz w:val="22"/>
          <w:szCs w:val="22"/>
          <w:lang w:val="en-US"/>
        </w:rPr>
        <w:t>, Inc.</w:t>
      </w:r>
    </w:p>
    <w:p w14:paraId="28B90663" w14:textId="35F6124B" w:rsidR="00214E6A" w:rsidRPr="004A1A95" w:rsidRDefault="00214E6A" w:rsidP="000A1519">
      <w:pPr>
        <w:pStyle w:val="3GPPHeader"/>
        <w:spacing w:after="120"/>
        <w:jc w:val="left"/>
        <w:rPr>
          <w:color w:val="000000"/>
          <w:sz w:val="22"/>
          <w:szCs w:val="22"/>
        </w:rPr>
      </w:pPr>
      <w:r w:rsidRPr="004A1A95">
        <w:rPr>
          <w:sz w:val="22"/>
          <w:szCs w:val="22"/>
        </w:rPr>
        <w:t>Title:</w:t>
      </w:r>
      <w:r w:rsidRPr="004A1A95">
        <w:rPr>
          <w:sz w:val="22"/>
          <w:szCs w:val="22"/>
        </w:rPr>
        <w:tab/>
      </w:r>
      <w:r w:rsidR="009D44E3">
        <w:rPr>
          <w:sz w:val="22"/>
          <w:szCs w:val="22"/>
        </w:rPr>
        <w:t>Remaining issues o</w:t>
      </w:r>
      <w:r w:rsidR="00721025">
        <w:rPr>
          <w:sz w:val="22"/>
          <w:szCs w:val="22"/>
        </w:rPr>
        <w:t>n</w:t>
      </w:r>
      <w:r w:rsidR="00E30291">
        <w:rPr>
          <w:sz w:val="22"/>
          <w:szCs w:val="22"/>
        </w:rPr>
        <w:t xml:space="preserve"> beam management for NTN</w:t>
      </w:r>
    </w:p>
    <w:p w14:paraId="5D36C9A6" w14:textId="3106B6CB" w:rsidR="00214E6A" w:rsidRPr="004A1A95" w:rsidRDefault="00214E6A" w:rsidP="000A1519">
      <w:pPr>
        <w:pStyle w:val="3GPPHeader"/>
        <w:spacing w:after="120"/>
        <w:rPr>
          <w:sz w:val="22"/>
          <w:szCs w:val="22"/>
        </w:rPr>
      </w:pPr>
      <w:r w:rsidRPr="004A1A95">
        <w:rPr>
          <w:sz w:val="22"/>
          <w:szCs w:val="22"/>
        </w:rPr>
        <w:t>Document for:</w:t>
      </w:r>
      <w:r w:rsidRPr="004A1A95">
        <w:rPr>
          <w:sz w:val="22"/>
          <w:szCs w:val="22"/>
        </w:rPr>
        <w:tab/>
        <w:t>Discussion</w:t>
      </w:r>
      <w:r w:rsidR="00D91E82">
        <w:rPr>
          <w:sz w:val="22"/>
          <w:szCs w:val="22"/>
        </w:rPr>
        <w:t xml:space="preserve"> and</w:t>
      </w:r>
      <w:r w:rsidR="00D91E82" w:rsidRPr="004A1A95">
        <w:rPr>
          <w:sz w:val="22"/>
          <w:szCs w:val="22"/>
        </w:rPr>
        <w:t xml:space="preserve"> </w:t>
      </w:r>
      <w:r w:rsidRPr="004A1A95">
        <w:rPr>
          <w:sz w:val="22"/>
          <w:szCs w:val="22"/>
        </w:rPr>
        <w:t>Decision</w:t>
      </w:r>
    </w:p>
    <w:p w14:paraId="19E2BC4D" w14:textId="77777777" w:rsidR="00214E6A" w:rsidRDefault="00214E6A" w:rsidP="00214E6A">
      <w:pPr>
        <w:pStyle w:val="Heading1"/>
      </w:pPr>
      <w:r w:rsidRPr="004A1A95">
        <w:t>Introduction</w:t>
      </w:r>
    </w:p>
    <w:p w14:paraId="2B14710A" w14:textId="62962BDB" w:rsidR="008F5A4A" w:rsidRDefault="001001A8" w:rsidP="00001445">
      <w:pPr>
        <w:spacing w:line="276" w:lineRule="auto"/>
        <w:rPr>
          <w:rFonts w:cs="Arial"/>
          <w:sz w:val="22"/>
          <w:szCs w:val="22"/>
        </w:rPr>
      </w:pPr>
      <w:bookmarkStart w:id="0" w:name="_Hlk528874692"/>
      <w:r>
        <w:rPr>
          <w:rFonts w:cs="Arial"/>
          <w:sz w:val="22"/>
          <w:szCs w:val="22"/>
        </w:rPr>
        <w:t>So far</w:t>
      </w:r>
      <w:r w:rsidR="008F5A4A">
        <w:rPr>
          <w:rFonts w:cs="Arial"/>
          <w:sz w:val="22"/>
          <w:szCs w:val="22"/>
        </w:rPr>
        <w:t>, the following agreement</w:t>
      </w:r>
      <w:r w:rsidR="0025073D">
        <w:rPr>
          <w:rFonts w:cs="Arial"/>
          <w:sz w:val="22"/>
          <w:szCs w:val="22"/>
        </w:rPr>
        <w:t>s</w:t>
      </w:r>
      <w:r w:rsidR="008F5A4A">
        <w:rPr>
          <w:rFonts w:cs="Arial"/>
          <w:sz w:val="22"/>
          <w:szCs w:val="22"/>
        </w:rPr>
        <w:t xml:space="preserve"> ha</w:t>
      </w:r>
      <w:r w:rsidR="0025073D">
        <w:rPr>
          <w:rFonts w:cs="Arial"/>
          <w:sz w:val="22"/>
          <w:szCs w:val="22"/>
        </w:rPr>
        <w:t>ve</w:t>
      </w:r>
      <w:r w:rsidR="008F5A4A">
        <w:rPr>
          <w:rFonts w:cs="Arial"/>
          <w:sz w:val="22"/>
          <w:szCs w:val="22"/>
        </w:rPr>
        <w:t xml:space="preserve"> been made as a progress for </w:t>
      </w:r>
      <w:r>
        <w:rPr>
          <w:rFonts w:cs="Arial"/>
          <w:sz w:val="22"/>
          <w:szCs w:val="22"/>
        </w:rPr>
        <w:t xml:space="preserve">NR NTN </w:t>
      </w:r>
      <w:r w:rsidR="008F5A4A">
        <w:rPr>
          <w:rFonts w:cs="Arial"/>
          <w:sz w:val="22"/>
          <w:szCs w:val="22"/>
        </w:rPr>
        <w:t>beam management:</w:t>
      </w:r>
    </w:p>
    <w:p w14:paraId="20D949C8" w14:textId="0C0DFE76" w:rsidR="0025073D" w:rsidRDefault="0025073D" w:rsidP="00E74749">
      <w:pPr>
        <w:spacing w:after="0"/>
        <w:rPr>
          <w:i/>
          <w:iCs/>
          <w:highlight w:val="green"/>
          <w:lang w:eastAsia="x-none"/>
        </w:rPr>
      </w:pPr>
      <w:r w:rsidRPr="00E74749">
        <w:rPr>
          <w:rFonts w:cs="Arial"/>
          <w:b/>
          <w:bCs/>
          <w:sz w:val="22"/>
          <w:szCs w:val="22"/>
          <w:u w:val="single"/>
        </w:rPr>
        <w:t>RAN1 #102e</w:t>
      </w:r>
    </w:p>
    <w:p w14:paraId="47E03CC3" w14:textId="3118D612" w:rsidR="008F5A4A" w:rsidRPr="007C4E5D" w:rsidRDefault="008F5A4A" w:rsidP="00E74749">
      <w:pPr>
        <w:spacing w:after="0"/>
        <w:rPr>
          <w:i/>
          <w:iCs/>
          <w:lang w:eastAsia="x-none"/>
        </w:rPr>
      </w:pPr>
      <w:r w:rsidRPr="007C4E5D">
        <w:rPr>
          <w:i/>
          <w:iCs/>
          <w:highlight w:val="green"/>
          <w:lang w:eastAsia="x-none"/>
        </w:rPr>
        <w:t>Agreement:</w:t>
      </w:r>
    </w:p>
    <w:p w14:paraId="0087EDAB" w14:textId="77777777" w:rsidR="008F5A4A" w:rsidRPr="007C4E5D" w:rsidRDefault="008F5A4A" w:rsidP="00E74749">
      <w:pPr>
        <w:spacing w:after="0"/>
        <w:rPr>
          <w:i/>
          <w:iCs/>
          <w:lang w:eastAsia="x-none"/>
        </w:rPr>
      </w:pPr>
      <w:r w:rsidRPr="007C4E5D">
        <w:rPr>
          <w:i/>
          <w:iCs/>
          <w:lang w:eastAsia="x-none"/>
        </w:rPr>
        <w:t>One-beam per cell and multiple-beam per cell are supported in existing NR specifications and are baseline for NR NTN.</w:t>
      </w:r>
    </w:p>
    <w:p w14:paraId="79B57104" w14:textId="77777777" w:rsidR="008F5A4A" w:rsidRPr="007C4E5D" w:rsidRDefault="008F5A4A" w:rsidP="00534B3E">
      <w:pPr>
        <w:numPr>
          <w:ilvl w:val="0"/>
          <w:numId w:val="16"/>
        </w:numPr>
        <w:overflowPunct/>
        <w:autoSpaceDE/>
        <w:autoSpaceDN/>
        <w:adjustRightInd/>
        <w:spacing w:after="0"/>
        <w:jc w:val="left"/>
        <w:textAlignment w:val="auto"/>
        <w:rPr>
          <w:i/>
          <w:iCs/>
          <w:lang w:eastAsia="x-none"/>
        </w:rPr>
      </w:pPr>
      <w:r w:rsidRPr="007C4E5D">
        <w:rPr>
          <w:i/>
          <w:iCs/>
          <w:lang w:eastAsia="x-none"/>
        </w:rPr>
        <w:t xml:space="preserve">FFS: The need for potential enhancement for beam management </w:t>
      </w:r>
    </w:p>
    <w:p w14:paraId="40BD93A0" w14:textId="77777777" w:rsidR="008F5A4A" w:rsidRPr="007C4E5D" w:rsidRDefault="008F5A4A" w:rsidP="00E74749">
      <w:pPr>
        <w:numPr>
          <w:ilvl w:val="0"/>
          <w:numId w:val="16"/>
        </w:numPr>
        <w:overflowPunct/>
        <w:autoSpaceDE/>
        <w:autoSpaceDN/>
        <w:adjustRightInd/>
        <w:spacing w:after="0"/>
        <w:jc w:val="left"/>
        <w:textAlignment w:val="auto"/>
        <w:rPr>
          <w:i/>
          <w:iCs/>
          <w:lang w:eastAsia="x-none"/>
        </w:rPr>
      </w:pPr>
      <w:r w:rsidRPr="007C4E5D">
        <w:rPr>
          <w:i/>
          <w:iCs/>
          <w:lang w:eastAsia="x-none"/>
        </w:rPr>
        <w:t>FFS: The need for potential enhancement on association of SSBs, beams and BWPs</w:t>
      </w:r>
    </w:p>
    <w:p w14:paraId="43D5392A" w14:textId="77777777" w:rsidR="008F5A4A" w:rsidRPr="007C4E5D" w:rsidRDefault="008F5A4A" w:rsidP="00E74749">
      <w:pPr>
        <w:spacing w:after="0"/>
        <w:rPr>
          <w:i/>
          <w:iCs/>
          <w:lang w:eastAsia="x-none"/>
        </w:rPr>
      </w:pPr>
    </w:p>
    <w:p w14:paraId="33D949C7" w14:textId="7B638C82" w:rsidR="00B414B8" w:rsidRDefault="00B414B8" w:rsidP="00E74749">
      <w:pPr>
        <w:spacing w:after="0"/>
        <w:rPr>
          <w:rFonts w:cs="Arial"/>
          <w:sz w:val="22"/>
          <w:szCs w:val="22"/>
        </w:rPr>
      </w:pPr>
    </w:p>
    <w:p w14:paraId="35125542" w14:textId="68689EA6" w:rsidR="0025073D" w:rsidRDefault="0025073D" w:rsidP="00E74749">
      <w:pPr>
        <w:spacing w:after="0"/>
        <w:rPr>
          <w:rFonts w:cs="Arial"/>
          <w:sz w:val="22"/>
          <w:szCs w:val="22"/>
        </w:rPr>
      </w:pPr>
      <w:r w:rsidRPr="008A175D">
        <w:rPr>
          <w:rFonts w:cs="Arial"/>
          <w:b/>
          <w:bCs/>
          <w:sz w:val="22"/>
          <w:szCs w:val="22"/>
          <w:u w:val="single"/>
        </w:rPr>
        <w:t>RAN1 #10</w:t>
      </w:r>
      <w:r>
        <w:rPr>
          <w:rFonts w:cs="Arial"/>
          <w:b/>
          <w:bCs/>
          <w:sz w:val="22"/>
          <w:szCs w:val="22"/>
          <w:u w:val="single"/>
        </w:rPr>
        <w:t>4</w:t>
      </w:r>
      <w:r w:rsidRPr="008A175D">
        <w:rPr>
          <w:rFonts w:cs="Arial"/>
          <w:b/>
          <w:bCs/>
          <w:sz w:val="22"/>
          <w:szCs w:val="22"/>
          <w:u w:val="single"/>
        </w:rPr>
        <w:t>e</w:t>
      </w:r>
    </w:p>
    <w:p w14:paraId="0A428613" w14:textId="77777777" w:rsidR="001001A8" w:rsidRPr="00134B59" w:rsidRDefault="001001A8" w:rsidP="00E74749">
      <w:pPr>
        <w:spacing w:after="0"/>
        <w:rPr>
          <w:rFonts w:eastAsia="Malgun Gothic" w:cs="Arial"/>
          <w:bCs/>
          <w:i/>
          <w:iCs/>
          <w:color w:val="000000"/>
          <w:lang w:eastAsia="ko-KR"/>
        </w:rPr>
      </w:pPr>
    </w:p>
    <w:p w14:paraId="27E0AB4F" w14:textId="77777777" w:rsidR="0025073D" w:rsidRPr="00134B59" w:rsidRDefault="0025073D" w:rsidP="00E74749">
      <w:pPr>
        <w:shd w:val="clear" w:color="auto" w:fill="FFFFFF"/>
        <w:spacing w:after="0"/>
        <w:rPr>
          <w:rFonts w:eastAsia="SimSun" w:cs="Arial"/>
          <w:i/>
          <w:iCs/>
          <w:color w:val="000000"/>
          <w:u w:val="single"/>
          <w:lang w:val="en-US"/>
        </w:rPr>
      </w:pPr>
      <w:r w:rsidRPr="00134B59">
        <w:rPr>
          <w:rFonts w:eastAsia="SimSun" w:cs="Arial"/>
          <w:i/>
          <w:iCs/>
          <w:color w:val="000000"/>
          <w:u w:val="single"/>
          <w:lang w:val="en-US"/>
        </w:rPr>
        <w:t>Conclusion:</w:t>
      </w:r>
    </w:p>
    <w:p w14:paraId="7118CAF7" w14:textId="77777777" w:rsidR="0025073D" w:rsidRPr="00134B59" w:rsidRDefault="0025073D" w:rsidP="00E74749">
      <w:pPr>
        <w:shd w:val="clear" w:color="auto" w:fill="FFFFFF"/>
        <w:spacing w:after="0"/>
        <w:rPr>
          <w:rFonts w:eastAsia="SimSun" w:cs="Arial"/>
          <w:i/>
          <w:iCs/>
          <w:color w:val="000000"/>
          <w:lang w:val="en-US"/>
        </w:rPr>
      </w:pPr>
      <w:r w:rsidRPr="00134B59">
        <w:rPr>
          <w:rFonts w:eastAsia="SimSun" w:cs="Arial"/>
          <w:i/>
          <w:iCs/>
          <w:color w:val="000000"/>
        </w:rPr>
        <w:t>Discuss </w:t>
      </w:r>
      <w:proofErr w:type="gramStart"/>
      <w:r w:rsidRPr="00134B59">
        <w:rPr>
          <w:rFonts w:eastAsia="SimSun" w:cs="Arial"/>
          <w:i/>
          <w:iCs/>
          <w:color w:val="000000"/>
        </w:rPr>
        <w:t>whether or not</w:t>
      </w:r>
      <w:proofErr w:type="gramEnd"/>
      <w:r w:rsidRPr="00134B59">
        <w:rPr>
          <w:rFonts w:eastAsia="SimSun" w:cs="Arial"/>
          <w:i/>
          <w:iCs/>
          <w:color w:val="FF0000"/>
        </w:rPr>
        <w:t xml:space="preserve"> </w:t>
      </w:r>
      <w:r w:rsidRPr="00134B59">
        <w:rPr>
          <w:rFonts w:eastAsia="SimSun" w:cs="Arial"/>
          <w:i/>
          <w:iCs/>
        </w:rPr>
        <w:t>at least</w:t>
      </w:r>
      <w:r w:rsidRPr="00134B59">
        <w:rPr>
          <w:rFonts w:eastAsia="SimSun" w:cs="Arial"/>
          <w:i/>
          <w:iCs/>
          <w:color w:val="FF0000"/>
        </w:rPr>
        <w:t> </w:t>
      </w:r>
      <w:r w:rsidRPr="00134B59">
        <w:rPr>
          <w:rFonts w:eastAsia="SimSun" w:cs="Arial"/>
          <w:i/>
          <w:iCs/>
          <w:color w:val="000000"/>
        </w:rPr>
        <w:t>following issues are valid and decide whether or not enhancements are needed in addition to current NR specification for supporting NTN beam management:</w:t>
      </w:r>
    </w:p>
    <w:p w14:paraId="5F2F5AB1" w14:textId="77777777" w:rsidR="0025073D" w:rsidRPr="00090C55" w:rsidRDefault="0025073D" w:rsidP="00534B3E">
      <w:pPr>
        <w:pStyle w:val="ListParagraph"/>
        <w:numPr>
          <w:ilvl w:val="0"/>
          <w:numId w:val="20"/>
        </w:numPr>
        <w:shd w:val="clear" w:color="auto" w:fill="FFFFFF"/>
        <w:spacing w:after="0" w:line="240" w:lineRule="auto"/>
        <w:contextualSpacing w:val="0"/>
        <w:rPr>
          <w:rFonts w:ascii="Arial" w:eastAsia="SimSun" w:hAnsi="Arial" w:cs="Arial"/>
          <w:i/>
          <w:iCs/>
          <w:color w:val="000000"/>
          <w:szCs w:val="20"/>
          <w:lang w:eastAsia="zh-CN"/>
        </w:rPr>
      </w:pPr>
      <w:r w:rsidRPr="00090C55">
        <w:rPr>
          <w:rFonts w:ascii="Arial" w:eastAsia="SimSun" w:hAnsi="Arial" w:cs="Arial"/>
          <w:i/>
          <w:iCs/>
          <w:color w:val="000000"/>
          <w:szCs w:val="20"/>
          <w:lang w:eastAsia="zh-CN"/>
        </w:rPr>
        <w:t>Issue 1: NR BWP is not directly associated with a beam. Thus, when using TCI to change beam from beam 1 to beam 2, it does not trigger NR BWP switching. However, in NTN FRF&gt;1 case, beam switching may result in a BWP switching.</w:t>
      </w:r>
    </w:p>
    <w:p w14:paraId="36B726F9" w14:textId="77777777" w:rsidR="0025073D" w:rsidRPr="00090C55" w:rsidRDefault="0025073D" w:rsidP="00E74749">
      <w:pPr>
        <w:pStyle w:val="ListParagraph"/>
        <w:numPr>
          <w:ilvl w:val="0"/>
          <w:numId w:val="20"/>
        </w:numPr>
        <w:shd w:val="clear" w:color="auto" w:fill="FFFFFF"/>
        <w:spacing w:after="0" w:line="240" w:lineRule="auto"/>
        <w:contextualSpacing w:val="0"/>
        <w:rPr>
          <w:rFonts w:ascii="Arial" w:eastAsia="SimSun" w:hAnsi="Arial" w:cs="Arial"/>
          <w:i/>
          <w:iCs/>
          <w:color w:val="000000"/>
          <w:szCs w:val="20"/>
          <w:lang w:eastAsia="zh-CN"/>
        </w:rPr>
      </w:pPr>
      <w:r w:rsidRPr="00090C55">
        <w:rPr>
          <w:rFonts w:ascii="Arial" w:eastAsia="SimSun" w:hAnsi="Arial" w:cs="Arial"/>
          <w:i/>
          <w:iCs/>
          <w:color w:val="000000"/>
          <w:szCs w:val="20"/>
          <w:lang w:eastAsia="zh-CN"/>
        </w:rPr>
        <w:t>Issue 2: NR BWP switching in UL and DL are not jointly triggered for FDD. However, in NTN FRF&gt;1 FDD scenario, beam switching may result in a BWP switching in both DL and UL.</w:t>
      </w:r>
    </w:p>
    <w:p w14:paraId="2B5EDCCD" w14:textId="77777777" w:rsidR="0025073D" w:rsidRPr="00090C55" w:rsidRDefault="0025073D" w:rsidP="00E74749">
      <w:pPr>
        <w:pStyle w:val="ListParagraph"/>
        <w:numPr>
          <w:ilvl w:val="0"/>
          <w:numId w:val="20"/>
        </w:numPr>
        <w:shd w:val="clear" w:color="auto" w:fill="FFFFFF"/>
        <w:spacing w:after="0" w:line="240" w:lineRule="auto"/>
        <w:contextualSpacing w:val="0"/>
        <w:rPr>
          <w:rFonts w:ascii="Arial" w:eastAsia="SimSun" w:hAnsi="Arial" w:cs="Arial"/>
          <w:i/>
          <w:iCs/>
          <w:color w:val="000000"/>
          <w:szCs w:val="20"/>
          <w:lang w:eastAsia="zh-CN"/>
        </w:rPr>
      </w:pPr>
      <w:r w:rsidRPr="00090C55">
        <w:rPr>
          <w:rFonts w:ascii="Arial" w:eastAsia="SimSun" w:hAnsi="Arial" w:cs="Arial"/>
          <w:i/>
          <w:iCs/>
          <w:color w:val="000000"/>
          <w:szCs w:val="20"/>
          <w:lang w:eastAsia="zh-CN"/>
        </w:rPr>
        <w:t>Issue 3: NR dynamic BWP switching requires data scheduling. While in NTN FRF&gt;1 scenario, we may need a fast BWP switching triggering without data scheduling.</w:t>
      </w:r>
    </w:p>
    <w:p w14:paraId="71495CBE" w14:textId="77777777" w:rsidR="0025073D" w:rsidRPr="00090C55" w:rsidRDefault="0025073D" w:rsidP="00E74749">
      <w:pPr>
        <w:pStyle w:val="ListParagraph"/>
        <w:numPr>
          <w:ilvl w:val="0"/>
          <w:numId w:val="20"/>
        </w:numPr>
        <w:shd w:val="clear" w:color="auto" w:fill="FFFFFF"/>
        <w:spacing w:after="0" w:line="240" w:lineRule="auto"/>
        <w:contextualSpacing w:val="0"/>
        <w:rPr>
          <w:rFonts w:ascii="Arial" w:eastAsia="SimSun" w:hAnsi="Arial" w:cs="Arial"/>
          <w:i/>
          <w:iCs/>
          <w:color w:val="000000"/>
          <w:szCs w:val="20"/>
          <w:lang w:eastAsia="zh-CN"/>
        </w:rPr>
      </w:pPr>
      <w:r w:rsidRPr="00090C55">
        <w:rPr>
          <w:rFonts w:ascii="Arial" w:eastAsia="SimSun" w:hAnsi="Arial" w:cs="Arial"/>
          <w:i/>
          <w:iCs/>
          <w:color w:val="000000"/>
          <w:szCs w:val="20"/>
          <w:lang w:eastAsia="zh-CN"/>
        </w:rPr>
        <w:t>Issue 4: NR BWP switching does not require re-synchronization. However, in NTN FRF&gt;1 scenario, when a satellite beam switching is triggered, UE may need to perform re-synchronization in the switched BWP. </w:t>
      </w:r>
    </w:p>
    <w:p w14:paraId="2677CEAD" w14:textId="77777777" w:rsidR="0025073D" w:rsidRPr="00090C55" w:rsidRDefault="0025073D" w:rsidP="00E74749">
      <w:pPr>
        <w:pStyle w:val="ListParagraph"/>
        <w:numPr>
          <w:ilvl w:val="0"/>
          <w:numId w:val="20"/>
        </w:numPr>
        <w:shd w:val="clear" w:color="auto" w:fill="FFFFFF"/>
        <w:spacing w:after="0" w:line="240" w:lineRule="auto"/>
        <w:contextualSpacing w:val="0"/>
        <w:rPr>
          <w:rFonts w:ascii="Arial" w:eastAsia="SimSun" w:hAnsi="Arial" w:cs="Arial"/>
          <w:i/>
          <w:iCs/>
          <w:color w:val="000000"/>
          <w:szCs w:val="20"/>
          <w:lang w:eastAsia="zh-CN"/>
        </w:rPr>
      </w:pPr>
      <w:r w:rsidRPr="00090C55">
        <w:rPr>
          <w:rFonts w:ascii="Arial" w:eastAsia="SimSun" w:hAnsi="Arial" w:cs="Arial"/>
          <w:i/>
          <w:iCs/>
          <w:color w:val="000000"/>
          <w:szCs w:val="20"/>
          <w:lang w:eastAsia="zh-CN"/>
        </w:rPr>
        <w:t>Issue 5: Since satellite beam switching can be frequent and often highly predictable, mechanisms of configured BWP switching (can be a sequence of BWPs) may be preferred but current NR does not allow it.</w:t>
      </w:r>
    </w:p>
    <w:p w14:paraId="5D407AD1" w14:textId="77777777" w:rsidR="0025073D" w:rsidRPr="00090C55" w:rsidRDefault="0025073D" w:rsidP="00E74749">
      <w:pPr>
        <w:pStyle w:val="ListParagraph"/>
        <w:numPr>
          <w:ilvl w:val="0"/>
          <w:numId w:val="20"/>
        </w:numPr>
        <w:shd w:val="clear" w:color="auto" w:fill="FFFFFF"/>
        <w:spacing w:after="0" w:line="240" w:lineRule="auto"/>
        <w:contextualSpacing w:val="0"/>
        <w:rPr>
          <w:rFonts w:ascii="Arial" w:eastAsia="SimSun" w:hAnsi="Arial" w:cs="Arial"/>
          <w:i/>
          <w:iCs/>
          <w:color w:val="000000"/>
          <w:szCs w:val="20"/>
          <w:lang w:eastAsia="zh-CN"/>
        </w:rPr>
      </w:pPr>
      <w:r w:rsidRPr="00090C55">
        <w:rPr>
          <w:rFonts w:ascii="Arial" w:eastAsia="SimSun" w:hAnsi="Arial" w:cs="Arial"/>
          <w:i/>
          <w:iCs/>
          <w:color w:val="000000"/>
          <w:szCs w:val="20"/>
          <w:lang w:eastAsia="zh-CN"/>
        </w:rPr>
        <w:t>Issue 6: How to deal with BWP switching triggered by </w:t>
      </w:r>
      <w:proofErr w:type="spellStart"/>
      <w:r w:rsidRPr="00090C55">
        <w:rPr>
          <w:rFonts w:ascii="Arial" w:eastAsia="SimSun" w:hAnsi="Arial" w:cs="Arial"/>
          <w:i/>
          <w:iCs/>
          <w:color w:val="000000"/>
          <w:szCs w:val="20"/>
          <w:lang w:eastAsia="zh-CN"/>
        </w:rPr>
        <w:t>bwpInactivityTimer</w:t>
      </w:r>
      <w:proofErr w:type="spellEnd"/>
      <w:r w:rsidRPr="00090C55">
        <w:rPr>
          <w:rFonts w:ascii="Arial" w:eastAsia="SimSun" w:hAnsi="Arial" w:cs="Arial"/>
          <w:i/>
          <w:iCs/>
          <w:color w:val="000000"/>
          <w:szCs w:val="20"/>
          <w:lang w:eastAsia="zh-CN"/>
        </w:rPr>
        <w:t>, RA procedure, or simply a need to increase throughput instead of for beam-level mobility.</w:t>
      </w:r>
    </w:p>
    <w:p w14:paraId="0DB49811" w14:textId="77777777" w:rsidR="0025073D" w:rsidRPr="00090C55" w:rsidRDefault="0025073D" w:rsidP="00E74749">
      <w:pPr>
        <w:pStyle w:val="ListParagraph"/>
        <w:numPr>
          <w:ilvl w:val="0"/>
          <w:numId w:val="20"/>
        </w:numPr>
        <w:shd w:val="clear" w:color="auto" w:fill="FFFFFF"/>
        <w:spacing w:after="0" w:line="240" w:lineRule="auto"/>
        <w:contextualSpacing w:val="0"/>
        <w:rPr>
          <w:rFonts w:ascii="Arial" w:eastAsia="SimSun" w:hAnsi="Arial" w:cs="Arial"/>
          <w:i/>
          <w:iCs/>
          <w:color w:val="000000"/>
          <w:szCs w:val="20"/>
          <w:lang w:eastAsia="zh-CN"/>
        </w:rPr>
      </w:pPr>
      <w:r w:rsidRPr="00090C55">
        <w:rPr>
          <w:rFonts w:ascii="Arial" w:eastAsia="SimSun" w:hAnsi="Arial" w:cs="Arial"/>
          <w:i/>
          <w:iCs/>
          <w:color w:val="000000"/>
          <w:szCs w:val="20"/>
          <w:lang w:eastAsia="zh-CN"/>
        </w:rPr>
        <w:t xml:space="preserve">Issue 7: NR BWP switching/beam switching is done with UE specific </w:t>
      </w:r>
      <w:proofErr w:type="spellStart"/>
      <w:r w:rsidRPr="00090C55">
        <w:rPr>
          <w:rFonts w:ascii="Arial" w:eastAsia="SimSun" w:hAnsi="Arial" w:cs="Arial"/>
          <w:i/>
          <w:iCs/>
          <w:color w:val="000000"/>
          <w:szCs w:val="20"/>
          <w:lang w:eastAsia="zh-CN"/>
        </w:rPr>
        <w:t>signalling</w:t>
      </w:r>
      <w:proofErr w:type="spellEnd"/>
      <w:r w:rsidRPr="00090C55">
        <w:rPr>
          <w:rFonts w:ascii="Arial" w:eastAsia="SimSun" w:hAnsi="Arial" w:cs="Arial"/>
          <w:i/>
          <w:iCs/>
          <w:color w:val="000000"/>
          <w:szCs w:val="20"/>
          <w:lang w:eastAsia="zh-CN"/>
        </w:rPr>
        <w:t xml:space="preserve"> due to UE </w:t>
      </w:r>
      <w:proofErr w:type="gramStart"/>
      <w:r w:rsidRPr="00090C55">
        <w:rPr>
          <w:rFonts w:ascii="Arial" w:eastAsia="SimSun" w:hAnsi="Arial" w:cs="Arial"/>
          <w:i/>
          <w:iCs/>
          <w:color w:val="000000"/>
          <w:szCs w:val="20"/>
          <w:lang w:eastAsia="zh-CN"/>
        </w:rPr>
        <w:t>movement’s</w:t>
      </w:r>
      <w:proofErr w:type="gramEnd"/>
      <w:r w:rsidRPr="00090C55">
        <w:rPr>
          <w:rFonts w:ascii="Arial" w:eastAsia="SimSun" w:hAnsi="Arial" w:cs="Arial"/>
          <w:i/>
          <w:iCs/>
          <w:color w:val="000000"/>
          <w:szCs w:val="20"/>
          <w:lang w:eastAsia="zh-CN"/>
        </w:rPr>
        <w:t xml:space="preserve">. However, in NTN scenario, a satellite BWP/beam switching is common for set of UEs, we may need to a common BWP/beam switching mechanism to save the </w:t>
      </w:r>
      <w:proofErr w:type="spellStart"/>
      <w:r w:rsidRPr="00090C55">
        <w:rPr>
          <w:rFonts w:ascii="Arial" w:eastAsia="SimSun" w:hAnsi="Arial" w:cs="Arial"/>
          <w:i/>
          <w:iCs/>
          <w:color w:val="000000"/>
          <w:szCs w:val="20"/>
          <w:lang w:eastAsia="zh-CN"/>
        </w:rPr>
        <w:t>signalling</w:t>
      </w:r>
      <w:proofErr w:type="spellEnd"/>
      <w:r w:rsidRPr="00090C55">
        <w:rPr>
          <w:rFonts w:ascii="Arial" w:eastAsia="SimSun" w:hAnsi="Arial" w:cs="Arial"/>
          <w:i/>
          <w:iCs/>
          <w:color w:val="000000"/>
          <w:szCs w:val="20"/>
          <w:lang w:eastAsia="zh-CN"/>
        </w:rPr>
        <w:t xml:space="preserve"> overhead.</w:t>
      </w:r>
    </w:p>
    <w:p w14:paraId="643A8C7B" w14:textId="77777777" w:rsidR="0025073D" w:rsidRPr="00E74749" w:rsidRDefault="0025073D" w:rsidP="00E74749">
      <w:pPr>
        <w:spacing w:after="0"/>
        <w:rPr>
          <w:i/>
          <w:iCs/>
          <w:lang w:eastAsia="x-none"/>
        </w:rPr>
      </w:pPr>
    </w:p>
    <w:p w14:paraId="2B1B852C" w14:textId="7446AAA6" w:rsidR="0025073D" w:rsidRDefault="0025073D" w:rsidP="00001445">
      <w:pPr>
        <w:spacing w:line="276" w:lineRule="auto"/>
        <w:rPr>
          <w:rFonts w:cs="Arial"/>
          <w:sz w:val="22"/>
          <w:szCs w:val="22"/>
        </w:rPr>
      </w:pPr>
    </w:p>
    <w:p w14:paraId="560D87AF" w14:textId="5D776AEE" w:rsidR="005722BA" w:rsidRDefault="005722BA" w:rsidP="00001445">
      <w:pPr>
        <w:spacing w:line="276" w:lineRule="auto"/>
        <w:rPr>
          <w:rFonts w:cs="Arial"/>
          <w:sz w:val="22"/>
          <w:szCs w:val="22"/>
        </w:rPr>
      </w:pPr>
      <w:r w:rsidRPr="00E74749">
        <w:rPr>
          <w:rFonts w:cs="Arial"/>
          <w:b/>
          <w:bCs/>
          <w:sz w:val="22"/>
          <w:szCs w:val="22"/>
          <w:u w:val="single"/>
        </w:rPr>
        <w:t>RAN1 #10</w:t>
      </w:r>
      <w:r>
        <w:rPr>
          <w:rFonts w:cs="Arial"/>
          <w:b/>
          <w:bCs/>
          <w:sz w:val="22"/>
          <w:szCs w:val="22"/>
          <w:u w:val="single"/>
        </w:rPr>
        <w:t>5</w:t>
      </w:r>
      <w:r w:rsidRPr="00E74749">
        <w:rPr>
          <w:rFonts w:cs="Arial"/>
          <w:b/>
          <w:bCs/>
          <w:sz w:val="22"/>
          <w:szCs w:val="22"/>
          <w:u w:val="single"/>
        </w:rPr>
        <w:t>e</w:t>
      </w:r>
    </w:p>
    <w:p w14:paraId="36D328D8" w14:textId="77777777" w:rsidR="005722BA" w:rsidRPr="00D56247" w:rsidRDefault="005722BA" w:rsidP="00D56247">
      <w:pPr>
        <w:spacing w:after="0"/>
        <w:rPr>
          <w:i/>
          <w:iCs/>
          <w:lang w:eastAsia="x-none"/>
        </w:rPr>
      </w:pPr>
      <w:r w:rsidRPr="00D56247">
        <w:rPr>
          <w:i/>
          <w:iCs/>
          <w:highlight w:val="green"/>
          <w:lang w:eastAsia="x-none"/>
        </w:rPr>
        <w:t>Agreement:</w:t>
      </w:r>
    </w:p>
    <w:p w14:paraId="5DD2C9F9" w14:textId="77777777" w:rsidR="005722BA" w:rsidRPr="00D56247" w:rsidRDefault="005722BA" w:rsidP="00D56247">
      <w:pPr>
        <w:spacing w:after="0"/>
        <w:rPr>
          <w:i/>
          <w:iCs/>
          <w:lang w:eastAsia="x-none"/>
        </w:rPr>
      </w:pPr>
      <w:r w:rsidRPr="00D56247">
        <w:rPr>
          <w:i/>
          <w:iCs/>
          <w:lang w:eastAsia="x-none"/>
        </w:rPr>
        <w:t xml:space="preserve">Same beam layout in BWP#0 and </w:t>
      </w:r>
      <w:proofErr w:type="spellStart"/>
      <w:r w:rsidRPr="00D56247">
        <w:rPr>
          <w:i/>
          <w:iCs/>
          <w:lang w:eastAsia="x-none"/>
        </w:rPr>
        <w:t>BWP#x</w:t>
      </w:r>
      <w:proofErr w:type="spellEnd"/>
      <w:r w:rsidRPr="00D56247">
        <w:rPr>
          <w:i/>
          <w:iCs/>
          <w:lang w:eastAsia="x-none"/>
        </w:rPr>
        <w:t xml:space="preserve"> (Option 1) and hierarchical beam for BWP#0 (Option 2) should be supported by the specifications for NR-NTN.</w:t>
      </w:r>
    </w:p>
    <w:p w14:paraId="7A9B37AF" w14:textId="77777777" w:rsidR="005722BA" w:rsidRPr="00D56247" w:rsidRDefault="005722BA" w:rsidP="005722BA">
      <w:pPr>
        <w:numPr>
          <w:ilvl w:val="0"/>
          <w:numId w:val="24"/>
        </w:numPr>
        <w:overflowPunct/>
        <w:autoSpaceDE/>
        <w:autoSpaceDN/>
        <w:adjustRightInd/>
        <w:spacing w:after="0"/>
        <w:jc w:val="left"/>
        <w:textAlignment w:val="auto"/>
        <w:rPr>
          <w:i/>
          <w:iCs/>
          <w:lang w:eastAsia="x-none"/>
        </w:rPr>
      </w:pPr>
      <w:r w:rsidRPr="00D56247">
        <w:rPr>
          <w:i/>
          <w:iCs/>
          <w:lang w:eastAsia="x-none"/>
        </w:rPr>
        <w:t>FFS: Whether any specification changes are needed specifically to support this functionality</w:t>
      </w:r>
    </w:p>
    <w:p w14:paraId="2FB439CC" w14:textId="77777777" w:rsidR="005722BA" w:rsidRPr="00D56247" w:rsidRDefault="005722BA" w:rsidP="00D56247">
      <w:pPr>
        <w:spacing w:after="0"/>
        <w:rPr>
          <w:i/>
          <w:iCs/>
          <w:lang w:eastAsia="x-none"/>
        </w:rPr>
      </w:pPr>
    </w:p>
    <w:p w14:paraId="6D28A8BF" w14:textId="12F02F89" w:rsidR="00BE6342" w:rsidRPr="000C3C1B" w:rsidRDefault="00001445" w:rsidP="00001445">
      <w:pPr>
        <w:spacing w:line="276" w:lineRule="auto"/>
      </w:pPr>
      <w:r w:rsidRPr="008924A3">
        <w:rPr>
          <w:rFonts w:cs="Arial"/>
          <w:sz w:val="22"/>
          <w:szCs w:val="22"/>
        </w:rPr>
        <w:lastRenderedPageBreak/>
        <w:t>In this contribution, we discuss</w:t>
      </w:r>
      <w:r w:rsidR="0025073D">
        <w:rPr>
          <w:rFonts w:cs="Arial"/>
          <w:sz w:val="22"/>
          <w:szCs w:val="22"/>
        </w:rPr>
        <w:t xml:space="preserve"> further on</w:t>
      </w:r>
      <w:r w:rsidR="008F5A4A">
        <w:rPr>
          <w:rFonts w:cs="Arial"/>
          <w:sz w:val="22"/>
          <w:szCs w:val="22"/>
        </w:rPr>
        <w:t xml:space="preserve"> beam management related issues for NTN</w:t>
      </w:r>
      <w:bookmarkEnd w:id="0"/>
      <w:r w:rsidR="00E60A1B">
        <w:rPr>
          <w:rFonts w:cs="Arial"/>
          <w:sz w:val="22"/>
          <w:szCs w:val="22"/>
        </w:rPr>
        <w:t>.</w:t>
      </w:r>
    </w:p>
    <w:p w14:paraId="037E7C31" w14:textId="6F27682A" w:rsidR="00E9634D" w:rsidRPr="00E9634D" w:rsidRDefault="00E9634D" w:rsidP="00090C55">
      <w:pPr>
        <w:pStyle w:val="Heading1"/>
      </w:pPr>
      <w:r>
        <w:t>Remaining Issues</w:t>
      </w:r>
    </w:p>
    <w:p w14:paraId="173D8477" w14:textId="673D2F6A" w:rsidR="000C18C9" w:rsidRPr="00090C55" w:rsidRDefault="00E9634D" w:rsidP="00090C55">
      <w:pPr>
        <w:pStyle w:val="Heading2"/>
        <w:rPr>
          <w:sz w:val="28"/>
          <w:szCs w:val="28"/>
        </w:rPr>
      </w:pPr>
      <w:r w:rsidRPr="00090C55">
        <w:rPr>
          <w:sz w:val="28"/>
          <w:szCs w:val="28"/>
        </w:rPr>
        <w:t xml:space="preserve">gNB dominant </w:t>
      </w:r>
      <w:r w:rsidR="00134B59">
        <w:rPr>
          <w:sz w:val="28"/>
          <w:szCs w:val="28"/>
        </w:rPr>
        <w:t>BWP switch</w:t>
      </w:r>
      <w:r w:rsidRPr="00090C55">
        <w:rPr>
          <w:sz w:val="28"/>
          <w:szCs w:val="28"/>
        </w:rPr>
        <w:t xml:space="preserve">  </w:t>
      </w:r>
    </w:p>
    <w:p w14:paraId="64A4A405" w14:textId="6A77E92A" w:rsidR="00090C55" w:rsidRDefault="00090C55" w:rsidP="00280F7B">
      <w:pPr>
        <w:spacing w:line="276" w:lineRule="auto"/>
        <w:rPr>
          <w:rFonts w:eastAsia="Calibri" w:cs="Arial"/>
          <w:bCs/>
          <w:sz w:val="22"/>
          <w:szCs w:val="22"/>
          <w:lang w:val="en-US" w:eastAsia="ko-KR"/>
        </w:rPr>
      </w:pPr>
      <w:r>
        <w:rPr>
          <w:rFonts w:eastAsia="Calibri" w:cs="Arial"/>
          <w:bCs/>
          <w:sz w:val="22"/>
          <w:szCs w:val="22"/>
          <w:lang w:val="en-US" w:eastAsia="ko-KR"/>
        </w:rPr>
        <w:t>RAN1 has discussed on a</w:t>
      </w:r>
      <w:r w:rsidR="00906039">
        <w:rPr>
          <w:rFonts w:eastAsia="Calibri" w:cs="Arial"/>
          <w:bCs/>
          <w:sz w:val="22"/>
          <w:szCs w:val="22"/>
          <w:lang w:val="en-US" w:eastAsia="ko-KR"/>
        </w:rPr>
        <w:t xml:space="preserve"> </w:t>
      </w:r>
      <w:r>
        <w:rPr>
          <w:rFonts w:eastAsia="Calibri" w:cs="Arial"/>
          <w:bCs/>
          <w:sz w:val="22"/>
          <w:szCs w:val="22"/>
          <w:lang w:val="en-US" w:eastAsia="ko-KR"/>
        </w:rPr>
        <w:t xml:space="preserve">gNB dominant BWP in which a gNB predicts and provides a sequence of beams (or BWP-id) for a UE to be switched at a given time based on the UE location and </w:t>
      </w:r>
      <w:r w:rsidR="00280F7B">
        <w:rPr>
          <w:rFonts w:eastAsia="Calibri" w:cs="Arial"/>
          <w:bCs/>
          <w:sz w:val="22"/>
          <w:szCs w:val="22"/>
          <w:lang w:val="en-US" w:eastAsia="ko-KR"/>
        </w:rPr>
        <w:t>satellite</w:t>
      </w:r>
      <w:r>
        <w:rPr>
          <w:rFonts w:eastAsia="Calibri" w:cs="Arial"/>
          <w:bCs/>
          <w:sz w:val="22"/>
          <w:szCs w:val="22"/>
          <w:lang w:val="en-US" w:eastAsia="ko-KR"/>
        </w:rPr>
        <w:t xml:space="preserve"> ephemeris information. Therefore, a UE may not need to measure and report beam quality </w:t>
      </w:r>
      <w:r w:rsidR="00280F7B">
        <w:rPr>
          <w:rFonts w:eastAsia="Calibri" w:cs="Arial"/>
          <w:bCs/>
          <w:sz w:val="22"/>
          <w:szCs w:val="22"/>
          <w:lang w:val="en-US" w:eastAsia="ko-KR"/>
        </w:rPr>
        <w:t xml:space="preserve">and gNB doesn’t need to trigger BWP switching for the beam measurement of the associated a target BWP. </w:t>
      </w:r>
    </w:p>
    <w:p w14:paraId="3C5A121B" w14:textId="3843CAB3" w:rsidR="00280F7B" w:rsidRDefault="00280F7B" w:rsidP="00280F7B">
      <w:pPr>
        <w:spacing w:line="276" w:lineRule="auto"/>
        <w:rPr>
          <w:rFonts w:eastAsia="Calibri" w:cs="Arial"/>
          <w:bCs/>
          <w:sz w:val="22"/>
          <w:szCs w:val="22"/>
          <w:lang w:val="en-US" w:eastAsia="ko-KR"/>
        </w:rPr>
      </w:pPr>
      <w:r>
        <w:rPr>
          <w:rFonts w:eastAsia="Calibri" w:cs="Arial"/>
          <w:bCs/>
          <w:sz w:val="22"/>
          <w:szCs w:val="22"/>
          <w:lang w:val="en-US" w:eastAsia="ko-KR"/>
        </w:rPr>
        <w:t xml:space="preserve">First, although a gNB may predict roughly the sequence of beams for a UE based on the UE location and satellite ephemeris information, it may not be accurate due to the UE movement. Therefore, the gNB </w:t>
      </w:r>
      <w:proofErr w:type="gramStart"/>
      <w:r>
        <w:rPr>
          <w:rFonts w:eastAsia="Calibri" w:cs="Arial"/>
          <w:bCs/>
          <w:sz w:val="22"/>
          <w:szCs w:val="22"/>
          <w:lang w:val="en-US" w:eastAsia="ko-KR"/>
        </w:rPr>
        <w:t>has to</w:t>
      </w:r>
      <w:proofErr w:type="gramEnd"/>
      <w:r>
        <w:rPr>
          <w:rFonts w:eastAsia="Calibri" w:cs="Arial"/>
          <w:bCs/>
          <w:sz w:val="22"/>
          <w:szCs w:val="22"/>
          <w:lang w:val="en-US" w:eastAsia="ko-KR"/>
        </w:rPr>
        <w:t xml:space="preserve"> check the beam quality before switching beam especially for the FRF&gt;1 deployment scenario since the control channel coverage relies on the beam selected by the gNB. In this case, beam measurement before the beam switch is necessary and there is no saving of beam measurement and reporting as compared to the existing beam management.</w:t>
      </w:r>
    </w:p>
    <w:p w14:paraId="1BC40979" w14:textId="474C7D4E" w:rsidR="00280F7B" w:rsidRPr="008029C6" w:rsidRDefault="00280F7B" w:rsidP="00280F7B">
      <w:pPr>
        <w:spacing w:line="276" w:lineRule="auto"/>
        <w:rPr>
          <w:rFonts w:eastAsia="Calibri" w:cs="Arial"/>
          <w:bCs/>
          <w:i/>
          <w:iCs/>
          <w:sz w:val="22"/>
          <w:szCs w:val="22"/>
          <w:lang w:val="en-US" w:eastAsia="ko-KR"/>
        </w:rPr>
      </w:pPr>
      <w:r w:rsidRPr="008029C6">
        <w:rPr>
          <w:rFonts w:eastAsia="Calibri" w:cs="Arial"/>
          <w:b/>
          <w:i/>
          <w:iCs/>
          <w:sz w:val="22"/>
          <w:szCs w:val="22"/>
          <w:lang w:val="en-US" w:eastAsia="ko-KR"/>
        </w:rPr>
        <w:t>Observation-1:</w:t>
      </w:r>
      <w:r w:rsidRPr="008029C6">
        <w:rPr>
          <w:rFonts w:eastAsia="Calibri" w:cs="Arial"/>
          <w:bCs/>
          <w:i/>
          <w:iCs/>
          <w:sz w:val="22"/>
          <w:szCs w:val="22"/>
          <w:lang w:val="en-US" w:eastAsia="ko-KR"/>
        </w:rPr>
        <w:t xml:space="preserve"> beam measurement and reporting for the target beam (and/or BWP) is necessary even when gNB dominant BWP switch is used to make sure that the target beam has good enough quality to maintain the control channel coverage.</w:t>
      </w:r>
    </w:p>
    <w:p w14:paraId="47279B85" w14:textId="1D639994" w:rsidR="00280F7B" w:rsidRDefault="00280F7B" w:rsidP="00280F7B">
      <w:pPr>
        <w:spacing w:line="276" w:lineRule="auto"/>
        <w:rPr>
          <w:rFonts w:eastAsia="Calibri" w:cs="Arial"/>
          <w:bCs/>
          <w:sz w:val="22"/>
          <w:szCs w:val="22"/>
          <w:lang w:val="en-US" w:eastAsia="ko-KR"/>
        </w:rPr>
      </w:pPr>
      <w:r>
        <w:rPr>
          <w:rFonts w:eastAsia="Calibri" w:cs="Arial"/>
          <w:bCs/>
          <w:sz w:val="22"/>
          <w:szCs w:val="22"/>
          <w:lang w:val="en-US" w:eastAsia="ko-KR"/>
        </w:rPr>
        <w:t xml:space="preserve">Second, without indicating the sequence of beams to a UE, gNB still can do it as the gNB has all necessary information including UE location and satellite ephemeris. The gNB can indicate BWP switch command whenever the UE moves to a neighboring beam. Considering a large beam footprint in NTN, BWP switch or beam switch may not </w:t>
      </w:r>
      <w:proofErr w:type="spellStart"/>
      <w:r>
        <w:rPr>
          <w:rFonts w:eastAsia="Calibri" w:cs="Arial"/>
          <w:bCs/>
          <w:sz w:val="22"/>
          <w:szCs w:val="22"/>
          <w:lang w:val="en-US" w:eastAsia="ko-KR"/>
        </w:rPr>
        <w:t>occure</w:t>
      </w:r>
      <w:proofErr w:type="spellEnd"/>
      <w:r>
        <w:rPr>
          <w:rFonts w:eastAsia="Calibri" w:cs="Arial"/>
          <w:bCs/>
          <w:sz w:val="22"/>
          <w:szCs w:val="22"/>
          <w:lang w:val="en-US" w:eastAsia="ko-KR"/>
        </w:rPr>
        <w:t xml:space="preserve"> frequently as TN</w:t>
      </w:r>
      <w:r w:rsidR="00665910">
        <w:rPr>
          <w:rFonts w:eastAsia="Calibri" w:cs="Arial"/>
          <w:bCs/>
          <w:sz w:val="22"/>
          <w:szCs w:val="22"/>
          <w:lang w:val="en-US" w:eastAsia="ko-KR"/>
        </w:rPr>
        <w:t>. Hence, the signaling overhead reduction by using gNB dominant BWP switch could be marginal.</w:t>
      </w:r>
    </w:p>
    <w:p w14:paraId="11078528" w14:textId="5C1777FF" w:rsidR="00665910" w:rsidRPr="008029C6" w:rsidRDefault="00665910" w:rsidP="00280F7B">
      <w:pPr>
        <w:spacing w:line="276" w:lineRule="auto"/>
        <w:rPr>
          <w:rFonts w:eastAsia="Calibri" w:cs="Arial"/>
          <w:bCs/>
          <w:sz w:val="22"/>
          <w:szCs w:val="22"/>
          <w:lang w:val="en-US" w:eastAsia="ko-KR"/>
        </w:rPr>
      </w:pPr>
      <w:r w:rsidRPr="00253A6A">
        <w:rPr>
          <w:rFonts w:eastAsia="Calibri" w:cs="Arial"/>
          <w:b/>
          <w:i/>
          <w:iCs/>
          <w:sz w:val="22"/>
          <w:szCs w:val="22"/>
          <w:lang w:val="en-US" w:eastAsia="ko-KR"/>
        </w:rPr>
        <w:t>Observation-</w:t>
      </w:r>
      <w:r>
        <w:rPr>
          <w:rFonts w:eastAsia="Calibri" w:cs="Arial"/>
          <w:b/>
          <w:i/>
          <w:iCs/>
          <w:sz w:val="22"/>
          <w:szCs w:val="22"/>
          <w:lang w:val="en-US" w:eastAsia="ko-KR"/>
        </w:rPr>
        <w:t>2</w:t>
      </w:r>
      <w:r w:rsidRPr="00253A6A">
        <w:rPr>
          <w:rFonts w:eastAsia="Calibri" w:cs="Arial"/>
          <w:b/>
          <w:i/>
          <w:iCs/>
          <w:sz w:val="22"/>
          <w:szCs w:val="22"/>
          <w:lang w:val="en-US" w:eastAsia="ko-KR"/>
        </w:rPr>
        <w:t>:</w:t>
      </w:r>
      <w:r w:rsidRPr="00253A6A">
        <w:rPr>
          <w:rFonts w:eastAsia="Calibri" w:cs="Arial"/>
          <w:bCs/>
          <w:i/>
          <w:iCs/>
          <w:sz w:val="22"/>
          <w:szCs w:val="22"/>
          <w:lang w:val="en-US" w:eastAsia="ko-KR"/>
        </w:rPr>
        <w:t xml:space="preserve"> </w:t>
      </w:r>
      <w:r>
        <w:rPr>
          <w:rFonts w:eastAsia="Calibri" w:cs="Arial"/>
          <w:bCs/>
          <w:i/>
          <w:iCs/>
          <w:sz w:val="22"/>
          <w:szCs w:val="22"/>
          <w:lang w:val="en-US" w:eastAsia="ko-KR"/>
        </w:rPr>
        <w:t>signaling overhead reduction is marginal from gNB dominant BWP switch considering that the beam switch may not occur frequently in NR NTN.</w:t>
      </w:r>
    </w:p>
    <w:p w14:paraId="13E9BC56" w14:textId="72EB0FE7" w:rsidR="00665910" w:rsidRDefault="00665910" w:rsidP="00906039">
      <w:pPr>
        <w:spacing w:line="276" w:lineRule="auto"/>
        <w:rPr>
          <w:rFonts w:eastAsia="Calibri" w:cs="Arial"/>
          <w:bCs/>
          <w:sz w:val="22"/>
          <w:szCs w:val="22"/>
          <w:lang w:val="en-US" w:eastAsia="ko-KR"/>
        </w:rPr>
      </w:pPr>
      <w:r>
        <w:rPr>
          <w:rFonts w:eastAsia="Calibri" w:cs="Arial"/>
          <w:bCs/>
          <w:sz w:val="22"/>
          <w:szCs w:val="22"/>
          <w:lang w:val="en-US" w:eastAsia="ko-KR"/>
        </w:rPr>
        <w:t>Lastly, the required standards efforts could be significant to support gNB dominant BWP switch as it is complicated to determine the timing of beam switch although the gNB has UE location and satellite ephemeris information. Since only one meeting left to finalize the Rel-17, it is better not to start designing a new feature which is not an essential feature.</w:t>
      </w:r>
    </w:p>
    <w:p w14:paraId="3ECDF925" w14:textId="02C10072" w:rsidR="00665910" w:rsidRPr="008029C6" w:rsidRDefault="00665910" w:rsidP="00906039">
      <w:pPr>
        <w:spacing w:line="276" w:lineRule="auto"/>
        <w:rPr>
          <w:rFonts w:eastAsia="Calibri" w:cs="Arial"/>
          <w:bCs/>
          <w:i/>
          <w:iCs/>
          <w:sz w:val="22"/>
          <w:szCs w:val="22"/>
          <w:lang w:val="en-US" w:eastAsia="ko-KR"/>
        </w:rPr>
      </w:pPr>
      <w:r w:rsidRPr="008029C6">
        <w:rPr>
          <w:rFonts w:eastAsia="Calibri" w:cs="Arial"/>
          <w:b/>
          <w:i/>
          <w:iCs/>
          <w:sz w:val="22"/>
          <w:szCs w:val="22"/>
          <w:lang w:val="en-US" w:eastAsia="ko-KR"/>
        </w:rPr>
        <w:t>Observation-3:</w:t>
      </w:r>
      <w:r w:rsidRPr="008029C6">
        <w:rPr>
          <w:rFonts w:eastAsia="Calibri" w:cs="Arial"/>
          <w:bCs/>
          <w:i/>
          <w:iCs/>
          <w:sz w:val="22"/>
          <w:szCs w:val="22"/>
          <w:lang w:val="en-US" w:eastAsia="ko-KR"/>
        </w:rPr>
        <w:t xml:space="preserve"> gNB dominant BWP switch is not an essential feature to be supported in Rel-17 considering the limited time of the Rel-17.</w:t>
      </w:r>
    </w:p>
    <w:p w14:paraId="0075EBC2" w14:textId="0482342C" w:rsidR="00665910" w:rsidRDefault="00665910" w:rsidP="00906039">
      <w:pPr>
        <w:spacing w:line="276" w:lineRule="auto"/>
        <w:rPr>
          <w:rFonts w:eastAsia="Calibri" w:cs="Arial"/>
          <w:bCs/>
          <w:sz w:val="22"/>
          <w:szCs w:val="22"/>
          <w:lang w:val="en-US" w:eastAsia="ko-KR"/>
        </w:rPr>
      </w:pPr>
      <w:r>
        <w:rPr>
          <w:rFonts w:eastAsia="Calibri" w:cs="Arial"/>
          <w:bCs/>
          <w:sz w:val="22"/>
          <w:szCs w:val="22"/>
          <w:lang w:val="en-US" w:eastAsia="ko-KR"/>
        </w:rPr>
        <w:t>Based on the observations above, gNB dominant BWP switch is not supported in Rel-17.</w:t>
      </w:r>
    </w:p>
    <w:p w14:paraId="43CAEAE2" w14:textId="669AE707" w:rsidR="00DC27C8" w:rsidRDefault="00087E45" w:rsidP="00FF5766">
      <w:pPr>
        <w:spacing w:line="276" w:lineRule="auto"/>
        <w:rPr>
          <w:rFonts w:eastAsia="Calibri" w:cs="Arial"/>
          <w:bCs/>
          <w:i/>
          <w:iCs/>
          <w:sz w:val="22"/>
          <w:szCs w:val="22"/>
        </w:rPr>
      </w:pPr>
      <w:r w:rsidRPr="007C4E5D">
        <w:rPr>
          <w:rFonts w:eastAsia="Calibri" w:cs="Arial"/>
          <w:b/>
          <w:i/>
          <w:iCs/>
          <w:sz w:val="22"/>
          <w:szCs w:val="22"/>
        </w:rPr>
        <w:t xml:space="preserve">Proposal </w:t>
      </w:r>
      <w:r w:rsidR="0025073D">
        <w:rPr>
          <w:rFonts w:eastAsia="Calibri" w:cs="Arial"/>
          <w:b/>
          <w:i/>
          <w:iCs/>
          <w:sz w:val="22"/>
          <w:szCs w:val="22"/>
        </w:rPr>
        <w:t>1</w:t>
      </w:r>
      <w:r w:rsidRPr="007C4E5D">
        <w:rPr>
          <w:rFonts w:eastAsia="Calibri" w:cs="Arial"/>
          <w:b/>
          <w:i/>
          <w:iCs/>
          <w:sz w:val="22"/>
          <w:szCs w:val="22"/>
        </w:rPr>
        <w:t>:</w:t>
      </w:r>
      <w:r w:rsidRPr="007C4E5D">
        <w:rPr>
          <w:rFonts w:eastAsia="Calibri" w:cs="Arial"/>
          <w:bCs/>
          <w:i/>
          <w:iCs/>
          <w:sz w:val="22"/>
          <w:szCs w:val="22"/>
        </w:rPr>
        <w:t xml:space="preserve"> </w:t>
      </w:r>
      <w:r w:rsidR="00665910">
        <w:rPr>
          <w:rFonts w:eastAsia="Calibri" w:cs="Arial"/>
          <w:bCs/>
          <w:i/>
          <w:iCs/>
          <w:sz w:val="22"/>
          <w:szCs w:val="22"/>
        </w:rPr>
        <w:t>gNB dominant BWP switch is not supported in Rel-17</w:t>
      </w:r>
      <w:r w:rsidR="001A3F2D">
        <w:rPr>
          <w:rFonts w:eastAsia="Calibri" w:cs="Arial"/>
          <w:bCs/>
          <w:i/>
          <w:iCs/>
          <w:sz w:val="22"/>
          <w:szCs w:val="22"/>
        </w:rPr>
        <w:t>.</w:t>
      </w:r>
    </w:p>
    <w:p w14:paraId="3FD92A97" w14:textId="77777777" w:rsidR="00702A2B" w:rsidRPr="007C4E5D" w:rsidRDefault="00702A2B" w:rsidP="00FF5766">
      <w:pPr>
        <w:spacing w:line="276" w:lineRule="auto"/>
        <w:rPr>
          <w:rFonts w:eastAsia="Calibri" w:cs="Arial"/>
          <w:bCs/>
          <w:i/>
          <w:iCs/>
          <w:sz w:val="22"/>
          <w:szCs w:val="22"/>
        </w:rPr>
      </w:pPr>
    </w:p>
    <w:p w14:paraId="693458DA" w14:textId="4E78EEF2" w:rsidR="00702A2B" w:rsidRPr="00253A6A" w:rsidRDefault="00702A2B" w:rsidP="00702A2B">
      <w:pPr>
        <w:pStyle w:val="Heading2"/>
        <w:rPr>
          <w:sz w:val="28"/>
          <w:szCs w:val="28"/>
        </w:rPr>
      </w:pPr>
      <w:r>
        <w:rPr>
          <w:sz w:val="28"/>
          <w:szCs w:val="28"/>
        </w:rPr>
        <w:t xml:space="preserve">BWP inactivity timer </w:t>
      </w:r>
      <w:r w:rsidRPr="00253A6A">
        <w:rPr>
          <w:sz w:val="28"/>
          <w:szCs w:val="28"/>
        </w:rPr>
        <w:t xml:space="preserve">  </w:t>
      </w:r>
    </w:p>
    <w:p w14:paraId="78D22D96" w14:textId="127A1FAB" w:rsidR="00BF14F9" w:rsidRDefault="00665910" w:rsidP="00324B49">
      <w:pPr>
        <w:spacing w:line="276" w:lineRule="auto"/>
        <w:rPr>
          <w:rFonts w:eastAsia="Calibri" w:cs="Arial"/>
          <w:bCs/>
          <w:sz w:val="22"/>
          <w:szCs w:val="22"/>
          <w:lang w:val="en-US" w:eastAsia="ko-KR"/>
        </w:rPr>
      </w:pPr>
      <w:r>
        <w:rPr>
          <w:rFonts w:eastAsia="Calibri" w:cs="Arial"/>
          <w:bCs/>
          <w:sz w:val="22"/>
          <w:szCs w:val="22"/>
          <w:lang w:val="en-US" w:eastAsia="ko-KR"/>
        </w:rPr>
        <w:t>It has been discussed whether an enhancement is needed for BWP inactivity timer which has been introduced to address a couple of issues in TN</w:t>
      </w:r>
      <w:r w:rsidR="00BF14F9">
        <w:rPr>
          <w:rFonts w:eastAsia="Calibri" w:cs="Arial"/>
          <w:bCs/>
          <w:sz w:val="22"/>
          <w:szCs w:val="22"/>
          <w:lang w:val="en-US" w:eastAsia="ko-KR"/>
        </w:rPr>
        <w:t xml:space="preserve"> including:</w:t>
      </w:r>
    </w:p>
    <w:p w14:paraId="1FB11D98" w14:textId="757E5D7C" w:rsidR="00702A2B" w:rsidRDefault="00BF14F9" w:rsidP="00324B49">
      <w:pPr>
        <w:pStyle w:val="ListParagraph"/>
        <w:numPr>
          <w:ilvl w:val="0"/>
          <w:numId w:val="24"/>
        </w:numPr>
        <w:spacing w:line="276" w:lineRule="auto"/>
        <w:rPr>
          <w:rFonts w:ascii="Arial" w:eastAsia="Calibri" w:hAnsi="Arial" w:cs="Arial"/>
          <w:bCs/>
          <w:lang w:eastAsia="ko-KR"/>
        </w:rPr>
      </w:pPr>
      <w:r w:rsidRPr="008029C6">
        <w:rPr>
          <w:rFonts w:ascii="Arial" w:eastAsia="Calibri" w:hAnsi="Arial" w:cs="Arial"/>
          <w:bCs/>
          <w:lang w:eastAsia="ko-KR"/>
        </w:rPr>
        <w:t>A</w:t>
      </w:r>
      <w:r w:rsidR="00665910" w:rsidRPr="008029C6">
        <w:rPr>
          <w:rFonts w:ascii="Arial" w:eastAsia="Calibri" w:hAnsi="Arial" w:cs="Arial"/>
          <w:bCs/>
          <w:lang w:eastAsia="ko-KR"/>
        </w:rPr>
        <w:t xml:space="preserve"> UE falls back to a default BWP when there is no activity in current active BWP</w:t>
      </w:r>
      <w:r w:rsidRPr="008029C6">
        <w:rPr>
          <w:rFonts w:ascii="Arial" w:eastAsia="Calibri" w:hAnsi="Arial" w:cs="Arial"/>
          <w:bCs/>
          <w:lang w:eastAsia="ko-KR"/>
        </w:rPr>
        <w:t>.</w:t>
      </w:r>
      <w:r>
        <w:rPr>
          <w:rFonts w:ascii="Arial" w:eastAsia="Calibri" w:hAnsi="Arial" w:cs="Arial"/>
          <w:bCs/>
          <w:lang w:eastAsia="ko-KR"/>
        </w:rPr>
        <w:t xml:space="preserve"> Therefore, the UE may save power if the default BWP is narrow than current active BWP.</w:t>
      </w:r>
    </w:p>
    <w:p w14:paraId="0BD55AE2" w14:textId="7C80D4B2" w:rsidR="00BF14F9" w:rsidRDefault="00BF14F9" w:rsidP="00324B49">
      <w:pPr>
        <w:pStyle w:val="ListParagraph"/>
        <w:numPr>
          <w:ilvl w:val="0"/>
          <w:numId w:val="24"/>
        </w:numPr>
        <w:spacing w:line="276" w:lineRule="auto"/>
        <w:rPr>
          <w:rFonts w:ascii="Arial" w:eastAsia="Calibri" w:hAnsi="Arial" w:cs="Arial"/>
          <w:bCs/>
          <w:lang w:eastAsia="ko-KR"/>
        </w:rPr>
      </w:pPr>
      <w:r>
        <w:rPr>
          <w:rFonts w:ascii="Arial" w:eastAsia="Calibri" w:hAnsi="Arial" w:cs="Arial"/>
          <w:bCs/>
          <w:lang w:eastAsia="ko-KR"/>
        </w:rPr>
        <w:t>When a UE missed BWP switching command, gNB still can communicate with the UE after the BWP inactivity timer is expired.</w:t>
      </w:r>
    </w:p>
    <w:p w14:paraId="756CACE4" w14:textId="152881DD" w:rsidR="00BF14F9" w:rsidRPr="009D44E3" w:rsidRDefault="00BF14F9" w:rsidP="00BF14F9">
      <w:pPr>
        <w:spacing w:line="276" w:lineRule="auto"/>
        <w:rPr>
          <w:rFonts w:eastAsia="Calibri" w:cs="Arial"/>
          <w:bCs/>
          <w:sz w:val="22"/>
          <w:szCs w:val="22"/>
          <w:lang w:eastAsia="ko-KR"/>
        </w:rPr>
      </w:pPr>
      <w:r w:rsidRPr="008029C6">
        <w:rPr>
          <w:rFonts w:eastAsia="Calibri" w:cs="Arial"/>
          <w:bCs/>
          <w:sz w:val="22"/>
          <w:szCs w:val="22"/>
          <w:lang w:eastAsia="ko-KR"/>
        </w:rPr>
        <w:lastRenderedPageBreak/>
        <w:t>However, in NR-NTN</w:t>
      </w:r>
      <w:r>
        <w:rPr>
          <w:rFonts w:eastAsia="Calibri" w:cs="Arial"/>
          <w:bCs/>
          <w:sz w:val="22"/>
          <w:szCs w:val="22"/>
          <w:lang w:eastAsia="ko-KR"/>
        </w:rPr>
        <w:t xml:space="preserve"> with FRF&gt;1, BWP switching itself may not be used unless a UE moves to a </w:t>
      </w:r>
      <w:proofErr w:type="spellStart"/>
      <w:r>
        <w:rPr>
          <w:rFonts w:eastAsia="Calibri" w:cs="Arial"/>
          <w:bCs/>
          <w:sz w:val="22"/>
          <w:szCs w:val="22"/>
          <w:lang w:eastAsia="ko-KR"/>
        </w:rPr>
        <w:t>neighboring</w:t>
      </w:r>
      <w:proofErr w:type="spellEnd"/>
      <w:r>
        <w:rPr>
          <w:rFonts w:eastAsia="Calibri" w:cs="Arial"/>
          <w:bCs/>
          <w:sz w:val="22"/>
          <w:szCs w:val="22"/>
          <w:lang w:eastAsia="ko-KR"/>
        </w:rPr>
        <w:t xml:space="preserve"> beam or a gNB trigger a measurement of beam in a </w:t>
      </w:r>
      <w:proofErr w:type="spellStart"/>
      <w:r>
        <w:rPr>
          <w:rFonts w:eastAsia="Calibri" w:cs="Arial"/>
          <w:bCs/>
          <w:sz w:val="22"/>
          <w:szCs w:val="22"/>
          <w:lang w:eastAsia="ko-KR"/>
        </w:rPr>
        <w:t>neighboring</w:t>
      </w:r>
      <w:proofErr w:type="spellEnd"/>
      <w:r>
        <w:rPr>
          <w:rFonts w:eastAsia="Calibri" w:cs="Arial"/>
          <w:bCs/>
          <w:sz w:val="22"/>
          <w:szCs w:val="22"/>
          <w:lang w:eastAsia="ko-KR"/>
        </w:rPr>
        <w:t xml:space="preserve"> beam or BWP. Therefore, BWP inactivity timer may be disabled when a BWP is associated with a beam (i.e., FRF&gt;1).</w:t>
      </w:r>
    </w:p>
    <w:p w14:paraId="2246CA7C" w14:textId="7325344F" w:rsidR="00BF14F9" w:rsidRDefault="00BF14F9" w:rsidP="00BF14F9">
      <w:pPr>
        <w:spacing w:line="276" w:lineRule="auto"/>
        <w:rPr>
          <w:rFonts w:eastAsia="Calibri" w:cs="Arial"/>
          <w:bCs/>
          <w:i/>
          <w:iCs/>
          <w:sz w:val="22"/>
          <w:szCs w:val="22"/>
        </w:rPr>
      </w:pPr>
      <w:r w:rsidRPr="007C4E5D">
        <w:rPr>
          <w:rFonts w:eastAsia="Calibri" w:cs="Arial"/>
          <w:b/>
          <w:i/>
          <w:iCs/>
          <w:sz w:val="22"/>
          <w:szCs w:val="22"/>
        </w:rPr>
        <w:t xml:space="preserve">Proposal </w:t>
      </w:r>
      <w:r>
        <w:rPr>
          <w:rFonts w:eastAsia="Calibri" w:cs="Arial"/>
          <w:b/>
          <w:i/>
          <w:iCs/>
          <w:sz w:val="22"/>
          <w:szCs w:val="22"/>
        </w:rPr>
        <w:t>2</w:t>
      </w:r>
      <w:r w:rsidRPr="007C4E5D">
        <w:rPr>
          <w:rFonts w:eastAsia="Calibri" w:cs="Arial"/>
          <w:b/>
          <w:i/>
          <w:iCs/>
          <w:sz w:val="22"/>
          <w:szCs w:val="22"/>
        </w:rPr>
        <w:t>:</w:t>
      </w:r>
      <w:r w:rsidRPr="007C4E5D">
        <w:rPr>
          <w:rFonts w:eastAsia="Calibri" w:cs="Arial"/>
          <w:bCs/>
          <w:i/>
          <w:iCs/>
          <w:sz w:val="22"/>
          <w:szCs w:val="22"/>
        </w:rPr>
        <w:t xml:space="preserve"> </w:t>
      </w:r>
      <w:r>
        <w:rPr>
          <w:rFonts w:eastAsia="Calibri" w:cs="Arial"/>
          <w:bCs/>
          <w:i/>
          <w:iCs/>
          <w:sz w:val="22"/>
          <w:szCs w:val="22"/>
        </w:rPr>
        <w:t>BWP inactivity timer enhancement is not needed for NR-NTN with FRF&gt;1 in Rel-17.</w:t>
      </w:r>
    </w:p>
    <w:p w14:paraId="0B6D8549" w14:textId="13552EE5" w:rsidR="0064330C" w:rsidRDefault="0064330C" w:rsidP="00324B49">
      <w:pPr>
        <w:spacing w:line="276" w:lineRule="auto"/>
        <w:rPr>
          <w:rFonts w:eastAsia="Calibri" w:cs="Arial"/>
          <w:bCs/>
          <w:sz w:val="22"/>
          <w:szCs w:val="22"/>
        </w:rPr>
      </w:pPr>
    </w:p>
    <w:p w14:paraId="5770B1E3" w14:textId="3DA25477" w:rsidR="00E7243F" w:rsidRPr="00090C55" w:rsidRDefault="00E7243F" w:rsidP="009D44E3">
      <w:pPr>
        <w:pStyle w:val="Heading2"/>
        <w:rPr>
          <w:sz w:val="28"/>
          <w:szCs w:val="28"/>
        </w:rPr>
      </w:pPr>
      <w:r w:rsidRPr="00090C55">
        <w:rPr>
          <w:sz w:val="28"/>
          <w:szCs w:val="28"/>
        </w:rPr>
        <w:t>Beam failure recovery in NTN</w:t>
      </w:r>
    </w:p>
    <w:p w14:paraId="7E5584D5" w14:textId="68841C39" w:rsidR="000D22F9" w:rsidRDefault="000D22F9" w:rsidP="00324B49">
      <w:pPr>
        <w:spacing w:line="276" w:lineRule="auto"/>
        <w:rPr>
          <w:rFonts w:eastAsia="Calibri" w:cs="Arial"/>
          <w:bCs/>
          <w:sz w:val="22"/>
          <w:szCs w:val="22"/>
        </w:rPr>
      </w:pPr>
      <w:r>
        <w:rPr>
          <w:rFonts w:eastAsia="Calibri" w:cs="Arial"/>
          <w:bCs/>
          <w:sz w:val="22"/>
          <w:szCs w:val="22"/>
        </w:rPr>
        <w:t>In RAN1 #106bis-e, the necessity of BFR enhancement was discussed for the NTN scenario with FRF&gt;1</w:t>
      </w:r>
      <w:r w:rsidR="004E19FE">
        <w:rPr>
          <w:rFonts w:eastAsia="Calibri" w:cs="Arial"/>
          <w:bCs/>
          <w:sz w:val="22"/>
          <w:szCs w:val="22"/>
        </w:rPr>
        <w:t xml:space="preserve"> as existing BFR may not work when a single PCI associated with multiple beams. The potential issues were listed in [1].</w:t>
      </w:r>
    </w:p>
    <w:p w14:paraId="32605A9D" w14:textId="4247EA8B" w:rsidR="005155EB" w:rsidRDefault="004E19FE" w:rsidP="00324B49">
      <w:pPr>
        <w:spacing w:line="276" w:lineRule="auto"/>
        <w:rPr>
          <w:rFonts w:eastAsia="Calibri" w:cs="Arial"/>
          <w:bCs/>
          <w:sz w:val="22"/>
          <w:szCs w:val="22"/>
        </w:rPr>
      </w:pPr>
      <w:r>
        <w:rPr>
          <w:rFonts w:eastAsia="Calibri" w:cs="Arial"/>
          <w:bCs/>
          <w:sz w:val="22"/>
          <w:szCs w:val="22"/>
        </w:rPr>
        <w:t xml:space="preserve">As an outcome of the discussion, FL concluded that the NR-NTN system works fine without BFR with following 3 solutions which is not dependent on the NTN </w:t>
      </w:r>
      <w:proofErr w:type="spellStart"/>
      <w:r>
        <w:rPr>
          <w:rFonts w:eastAsia="Calibri" w:cs="Arial"/>
          <w:bCs/>
          <w:sz w:val="22"/>
          <w:szCs w:val="22"/>
        </w:rPr>
        <w:t>deployement</w:t>
      </w:r>
      <w:proofErr w:type="spellEnd"/>
      <w:r>
        <w:rPr>
          <w:rFonts w:eastAsia="Calibri" w:cs="Arial"/>
          <w:bCs/>
          <w:sz w:val="22"/>
          <w:szCs w:val="22"/>
        </w:rPr>
        <w:t xml:space="preserve"> scenarios [2]:</w:t>
      </w:r>
    </w:p>
    <w:p w14:paraId="1BDADD1C" w14:textId="0B333E1F" w:rsidR="004E19FE" w:rsidRPr="008029C6" w:rsidRDefault="004E19FE" w:rsidP="004E19FE">
      <w:pPr>
        <w:pStyle w:val="ListParagraph"/>
        <w:numPr>
          <w:ilvl w:val="0"/>
          <w:numId w:val="33"/>
        </w:numPr>
        <w:spacing w:line="276" w:lineRule="auto"/>
        <w:rPr>
          <w:rFonts w:ascii="Arial" w:eastAsia="Calibri" w:hAnsi="Arial" w:cs="Arial"/>
          <w:bCs/>
        </w:rPr>
      </w:pPr>
      <w:r w:rsidRPr="008029C6">
        <w:rPr>
          <w:rFonts w:ascii="Arial" w:eastAsia="Calibri" w:hAnsi="Arial" w:cs="Arial"/>
          <w:bCs/>
        </w:rPr>
        <w:t>Solution-1: gNB may select to deploy single-beam per PCI</w:t>
      </w:r>
    </w:p>
    <w:p w14:paraId="50306D0B" w14:textId="0EA55A8F" w:rsidR="004E19FE" w:rsidRPr="008029C6" w:rsidRDefault="004E19FE" w:rsidP="004E19FE">
      <w:pPr>
        <w:pStyle w:val="ListParagraph"/>
        <w:numPr>
          <w:ilvl w:val="0"/>
          <w:numId w:val="33"/>
        </w:numPr>
        <w:spacing w:line="276" w:lineRule="auto"/>
        <w:rPr>
          <w:rFonts w:ascii="Arial" w:eastAsia="Calibri" w:hAnsi="Arial" w:cs="Arial"/>
          <w:bCs/>
        </w:rPr>
      </w:pPr>
      <w:r w:rsidRPr="008029C6">
        <w:rPr>
          <w:rFonts w:ascii="Arial" w:eastAsia="Calibri" w:hAnsi="Arial" w:cs="Arial"/>
          <w:bCs/>
        </w:rPr>
        <w:t>Solution-2: gNB may predict the beam change based on UE location information and directly triggers the UE to change the beam and the same time BFR function is disabled</w:t>
      </w:r>
    </w:p>
    <w:p w14:paraId="788FD9A4" w14:textId="1261D090" w:rsidR="004E19FE" w:rsidRPr="008029C6" w:rsidRDefault="004E19FE" w:rsidP="008029C6">
      <w:pPr>
        <w:pStyle w:val="ListParagraph"/>
        <w:numPr>
          <w:ilvl w:val="0"/>
          <w:numId w:val="33"/>
        </w:numPr>
        <w:spacing w:line="276" w:lineRule="auto"/>
        <w:rPr>
          <w:rFonts w:eastAsia="Calibri" w:cs="Arial"/>
          <w:bCs/>
        </w:rPr>
      </w:pPr>
      <w:r w:rsidRPr="008029C6">
        <w:rPr>
          <w:rFonts w:ascii="Arial" w:eastAsia="Calibri" w:hAnsi="Arial" w:cs="Arial"/>
          <w:bCs/>
        </w:rPr>
        <w:t xml:space="preserve">Solution-3: gNB relies on RLM/RLF </w:t>
      </w:r>
      <w:proofErr w:type="gramStart"/>
      <w:r w:rsidRPr="008029C6">
        <w:rPr>
          <w:rFonts w:ascii="Arial" w:eastAsia="Calibri" w:hAnsi="Arial" w:cs="Arial"/>
          <w:bCs/>
        </w:rPr>
        <w:t>similar to</w:t>
      </w:r>
      <w:proofErr w:type="gramEnd"/>
      <w:r w:rsidRPr="008029C6">
        <w:rPr>
          <w:rFonts w:ascii="Arial" w:eastAsia="Calibri" w:hAnsi="Arial" w:cs="Arial"/>
          <w:bCs/>
        </w:rPr>
        <w:t xml:space="preserve"> the mobility issue</w:t>
      </w:r>
    </w:p>
    <w:p w14:paraId="12E8074D" w14:textId="2BE811A0" w:rsidR="004E19FE" w:rsidRDefault="004E19FE" w:rsidP="00324B49">
      <w:pPr>
        <w:spacing w:line="276" w:lineRule="auto"/>
        <w:rPr>
          <w:rFonts w:eastAsia="Calibri" w:cs="Arial"/>
          <w:bCs/>
          <w:sz w:val="22"/>
          <w:szCs w:val="22"/>
        </w:rPr>
      </w:pPr>
      <w:r>
        <w:rPr>
          <w:rFonts w:eastAsia="Calibri" w:cs="Arial"/>
          <w:bCs/>
          <w:sz w:val="22"/>
          <w:szCs w:val="22"/>
        </w:rPr>
        <w:t>Considering that all abovementioned solutions are applicable for FRF=1 as well, it should be confirmed that no BFR enhancement is needed for NR-NTN in Rel-17 irrespective of the NTN scenario.</w:t>
      </w:r>
    </w:p>
    <w:p w14:paraId="7E058175" w14:textId="0D13E640" w:rsidR="004E19FE" w:rsidRDefault="004E19FE" w:rsidP="004E19FE">
      <w:pPr>
        <w:spacing w:line="276" w:lineRule="auto"/>
        <w:rPr>
          <w:rFonts w:eastAsia="Calibri" w:cs="Arial"/>
          <w:bCs/>
          <w:i/>
          <w:iCs/>
          <w:sz w:val="22"/>
          <w:szCs w:val="22"/>
        </w:rPr>
      </w:pPr>
      <w:r w:rsidRPr="007C4E5D">
        <w:rPr>
          <w:rFonts w:eastAsia="Calibri" w:cs="Arial"/>
          <w:b/>
          <w:i/>
          <w:iCs/>
          <w:sz w:val="22"/>
          <w:szCs w:val="22"/>
        </w:rPr>
        <w:t xml:space="preserve">Proposal </w:t>
      </w:r>
      <w:r>
        <w:rPr>
          <w:rFonts w:eastAsia="Calibri" w:cs="Arial"/>
          <w:b/>
          <w:i/>
          <w:iCs/>
          <w:sz w:val="22"/>
          <w:szCs w:val="22"/>
        </w:rPr>
        <w:t>3</w:t>
      </w:r>
      <w:r w:rsidRPr="007C4E5D">
        <w:rPr>
          <w:rFonts w:eastAsia="Calibri" w:cs="Arial"/>
          <w:b/>
          <w:i/>
          <w:iCs/>
          <w:sz w:val="22"/>
          <w:szCs w:val="22"/>
        </w:rPr>
        <w:t>:</w:t>
      </w:r>
      <w:r w:rsidRPr="007C4E5D">
        <w:rPr>
          <w:rFonts w:eastAsia="Calibri" w:cs="Arial"/>
          <w:bCs/>
          <w:i/>
          <w:iCs/>
          <w:sz w:val="22"/>
          <w:szCs w:val="22"/>
        </w:rPr>
        <w:t xml:space="preserve"> </w:t>
      </w:r>
      <w:r>
        <w:rPr>
          <w:rFonts w:eastAsia="Calibri" w:cs="Arial"/>
          <w:bCs/>
          <w:i/>
          <w:iCs/>
          <w:sz w:val="22"/>
          <w:szCs w:val="22"/>
        </w:rPr>
        <w:t>BFR enhancement is not supported irrespective of FRF in Rel-17.</w:t>
      </w:r>
    </w:p>
    <w:p w14:paraId="0B6D7D6F" w14:textId="77777777" w:rsidR="00214E6A" w:rsidRPr="004A1A95" w:rsidRDefault="00214E6A" w:rsidP="00214E6A">
      <w:pPr>
        <w:pStyle w:val="Heading1"/>
      </w:pPr>
      <w:r w:rsidRPr="004A1A95">
        <w:t>Conclusion</w:t>
      </w:r>
    </w:p>
    <w:p w14:paraId="66F0DF76" w14:textId="7D0D70AD" w:rsidR="00E013C6" w:rsidRDefault="00214E6A" w:rsidP="00C6277A">
      <w:pPr>
        <w:tabs>
          <w:tab w:val="left" w:pos="0"/>
        </w:tabs>
        <w:rPr>
          <w:sz w:val="22"/>
        </w:rPr>
      </w:pPr>
      <w:r w:rsidRPr="000F21E9">
        <w:rPr>
          <w:sz w:val="22"/>
        </w:rPr>
        <w:t xml:space="preserve">In this contribution the following observations and proposals were made concerning </w:t>
      </w:r>
      <w:r w:rsidR="00827AF6">
        <w:rPr>
          <w:sz w:val="22"/>
        </w:rPr>
        <w:t>beam management</w:t>
      </w:r>
      <w:r w:rsidR="000D1CD0" w:rsidRPr="000F21E9">
        <w:rPr>
          <w:sz w:val="22"/>
        </w:rPr>
        <w:t xml:space="preserve"> in NTN:</w:t>
      </w:r>
    </w:p>
    <w:p w14:paraId="40164BD7" w14:textId="77777777" w:rsidR="004E19FE" w:rsidRPr="00253A6A" w:rsidRDefault="004E19FE" w:rsidP="004E19FE">
      <w:pPr>
        <w:spacing w:line="276" w:lineRule="auto"/>
        <w:rPr>
          <w:rFonts w:eastAsia="Calibri" w:cs="Arial"/>
          <w:bCs/>
          <w:i/>
          <w:iCs/>
          <w:sz w:val="22"/>
          <w:szCs w:val="22"/>
          <w:lang w:val="en-US" w:eastAsia="ko-KR"/>
        </w:rPr>
      </w:pPr>
      <w:r w:rsidRPr="00253A6A">
        <w:rPr>
          <w:rFonts w:eastAsia="Calibri" w:cs="Arial"/>
          <w:b/>
          <w:i/>
          <w:iCs/>
          <w:sz w:val="22"/>
          <w:szCs w:val="22"/>
          <w:lang w:val="en-US" w:eastAsia="ko-KR"/>
        </w:rPr>
        <w:t>Observation-1:</w:t>
      </w:r>
      <w:r w:rsidRPr="00253A6A">
        <w:rPr>
          <w:rFonts w:eastAsia="Calibri" w:cs="Arial"/>
          <w:bCs/>
          <w:i/>
          <w:iCs/>
          <w:sz w:val="22"/>
          <w:szCs w:val="22"/>
          <w:lang w:val="en-US" w:eastAsia="ko-KR"/>
        </w:rPr>
        <w:t xml:space="preserve"> beam measurement and reporting for the target beam (and/or BWP) is necessary even when gNB dominant BWP switch is used to make sure that the target beam has good enough quality to maintain the control channel coverage.</w:t>
      </w:r>
    </w:p>
    <w:p w14:paraId="1B44D114" w14:textId="3EF9D422" w:rsidR="004E19FE" w:rsidRDefault="004E19FE" w:rsidP="004E19FE">
      <w:pPr>
        <w:spacing w:line="276" w:lineRule="auto"/>
        <w:rPr>
          <w:rFonts w:eastAsia="Calibri" w:cs="Arial"/>
          <w:bCs/>
          <w:i/>
          <w:iCs/>
          <w:sz w:val="22"/>
          <w:szCs w:val="22"/>
          <w:lang w:val="en-US" w:eastAsia="ko-KR"/>
        </w:rPr>
      </w:pPr>
      <w:r w:rsidRPr="00253A6A">
        <w:rPr>
          <w:rFonts w:eastAsia="Calibri" w:cs="Arial"/>
          <w:b/>
          <w:i/>
          <w:iCs/>
          <w:sz w:val="22"/>
          <w:szCs w:val="22"/>
          <w:lang w:val="en-US" w:eastAsia="ko-KR"/>
        </w:rPr>
        <w:t>Observation-</w:t>
      </w:r>
      <w:r>
        <w:rPr>
          <w:rFonts w:eastAsia="Calibri" w:cs="Arial"/>
          <w:b/>
          <w:i/>
          <w:iCs/>
          <w:sz w:val="22"/>
          <w:szCs w:val="22"/>
          <w:lang w:val="en-US" w:eastAsia="ko-KR"/>
        </w:rPr>
        <w:t>2</w:t>
      </w:r>
      <w:r w:rsidRPr="00253A6A">
        <w:rPr>
          <w:rFonts w:eastAsia="Calibri" w:cs="Arial"/>
          <w:b/>
          <w:i/>
          <w:iCs/>
          <w:sz w:val="22"/>
          <w:szCs w:val="22"/>
          <w:lang w:val="en-US" w:eastAsia="ko-KR"/>
        </w:rPr>
        <w:t>:</w:t>
      </w:r>
      <w:r w:rsidRPr="00253A6A">
        <w:rPr>
          <w:rFonts w:eastAsia="Calibri" w:cs="Arial"/>
          <w:bCs/>
          <w:i/>
          <w:iCs/>
          <w:sz w:val="22"/>
          <w:szCs w:val="22"/>
          <w:lang w:val="en-US" w:eastAsia="ko-KR"/>
        </w:rPr>
        <w:t xml:space="preserve"> </w:t>
      </w:r>
      <w:r>
        <w:rPr>
          <w:rFonts w:eastAsia="Calibri" w:cs="Arial"/>
          <w:bCs/>
          <w:i/>
          <w:iCs/>
          <w:sz w:val="22"/>
          <w:szCs w:val="22"/>
          <w:lang w:val="en-US" w:eastAsia="ko-KR"/>
        </w:rPr>
        <w:t>signaling overhead reduction is marginal from gNB dominant BWP switch considering that the beam switch may not occur frequently in NR NTN.</w:t>
      </w:r>
    </w:p>
    <w:p w14:paraId="2F3021E8" w14:textId="2084676C" w:rsidR="004E19FE" w:rsidRDefault="004E19FE" w:rsidP="004E19FE">
      <w:pPr>
        <w:spacing w:line="276" w:lineRule="auto"/>
        <w:rPr>
          <w:rFonts w:eastAsia="Calibri" w:cs="Arial"/>
          <w:bCs/>
          <w:i/>
          <w:iCs/>
          <w:sz w:val="22"/>
          <w:szCs w:val="22"/>
          <w:lang w:val="en-US" w:eastAsia="ko-KR"/>
        </w:rPr>
      </w:pPr>
      <w:r w:rsidRPr="00253A6A">
        <w:rPr>
          <w:rFonts w:eastAsia="Calibri" w:cs="Arial"/>
          <w:b/>
          <w:i/>
          <w:iCs/>
          <w:sz w:val="22"/>
          <w:szCs w:val="22"/>
          <w:lang w:val="en-US" w:eastAsia="ko-KR"/>
        </w:rPr>
        <w:t>Observation-3:</w:t>
      </w:r>
      <w:r w:rsidRPr="00253A6A">
        <w:rPr>
          <w:rFonts w:eastAsia="Calibri" w:cs="Arial"/>
          <w:bCs/>
          <w:i/>
          <w:iCs/>
          <w:sz w:val="22"/>
          <w:szCs w:val="22"/>
          <w:lang w:val="en-US" w:eastAsia="ko-KR"/>
        </w:rPr>
        <w:t xml:space="preserve"> gNB dominant BWP switch is not an essential feature to be supported in Rel-17 considering the limited time of the Rel-17.</w:t>
      </w:r>
    </w:p>
    <w:p w14:paraId="12805A00" w14:textId="77777777" w:rsidR="004E19FE" w:rsidRPr="00253A6A" w:rsidRDefault="004E19FE" w:rsidP="004E19FE">
      <w:pPr>
        <w:spacing w:line="276" w:lineRule="auto"/>
        <w:rPr>
          <w:rFonts w:eastAsia="Calibri" w:cs="Arial"/>
          <w:bCs/>
          <w:i/>
          <w:iCs/>
          <w:sz w:val="22"/>
          <w:szCs w:val="22"/>
          <w:lang w:val="en-US" w:eastAsia="ko-KR"/>
        </w:rPr>
      </w:pPr>
    </w:p>
    <w:p w14:paraId="26CA6CDA" w14:textId="77777777" w:rsidR="004E19FE" w:rsidRDefault="004E19FE" w:rsidP="004E19FE">
      <w:pPr>
        <w:spacing w:line="276" w:lineRule="auto"/>
        <w:rPr>
          <w:rFonts w:eastAsia="Calibri" w:cs="Arial"/>
          <w:bCs/>
          <w:i/>
          <w:iCs/>
          <w:sz w:val="22"/>
          <w:szCs w:val="22"/>
        </w:rPr>
      </w:pPr>
      <w:r w:rsidRPr="007C4E5D">
        <w:rPr>
          <w:rFonts w:eastAsia="Calibri" w:cs="Arial"/>
          <w:b/>
          <w:i/>
          <w:iCs/>
          <w:sz w:val="22"/>
          <w:szCs w:val="22"/>
        </w:rPr>
        <w:t xml:space="preserve">Proposal </w:t>
      </w:r>
      <w:r>
        <w:rPr>
          <w:rFonts w:eastAsia="Calibri" w:cs="Arial"/>
          <w:b/>
          <w:i/>
          <w:iCs/>
          <w:sz w:val="22"/>
          <w:szCs w:val="22"/>
        </w:rPr>
        <w:t>1</w:t>
      </w:r>
      <w:r w:rsidRPr="007C4E5D">
        <w:rPr>
          <w:rFonts w:eastAsia="Calibri" w:cs="Arial"/>
          <w:b/>
          <w:i/>
          <w:iCs/>
          <w:sz w:val="22"/>
          <w:szCs w:val="22"/>
        </w:rPr>
        <w:t>:</w:t>
      </w:r>
      <w:r w:rsidRPr="007C4E5D">
        <w:rPr>
          <w:rFonts w:eastAsia="Calibri" w:cs="Arial"/>
          <w:bCs/>
          <w:i/>
          <w:iCs/>
          <w:sz w:val="22"/>
          <w:szCs w:val="22"/>
        </w:rPr>
        <w:t xml:space="preserve"> </w:t>
      </w:r>
      <w:r>
        <w:rPr>
          <w:rFonts w:eastAsia="Calibri" w:cs="Arial"/>
          <w:bCs/>
          <w:i/>
          <w:iCs/>
          <w:sz w:val="22"/>
          <w:szCs w:val="22"/>
        </w:rPr>
        <w:t>gNB dominant BWP switch is not supported in Rel-17.</w:t>
      </w:r>
    </w:p>
    <w:p w14:paraId="2D90D93D" w14:textId="77777777" w:rsidR="004E19FE" w:rsidRDefault="004E19FE" w:rsidP="004E19FE">
      <w:pPr>
        <w:spacing w:line="276" w:lineRule="auto"/>
        <w:rPr>
          <w:rFonts w:eastAsia="Calibri" w:cs="Arial"/>
          <w:bCs/>
          <w:i/>
          <w:iCs/>
          <w:sz w:val="22"/>
          <w:szCs w:val="22"/>
        </w:rPr>
      </w:pPr>
      <w:r w:rsidRPr="007C4E5D">
        <w:rPr>
          <w:rFonts w:eastAsia="Calibri" w:cs="Arial"/>
          <w:b/>
          <w:i/>
          <w:iCs/>
          <w:sz w:val="22"/>
          <w:szCs w:val="22"/>
        </w:rPr>
        <w:t xml:space="preserve">Proposal </w:t>
      </w:r>
      <w:r>
        <w:rPr>
          <w:rFonts w:eastAsia="Calibri" w:cs="Arial"/>
          <w:b/>
          <w:i/>
          <w:iCs/>
          <w:sz w:val="22"/>
          <w:szCs w:val="22"/>
        </w:rPr>
        <w:t>2</w:t>
      </w:r>
      <w:r w:rsidRPr="007C4E5D">
        <w:rPr>
          <w:rFonts w:eastAsia="Calibri" w:cs="Arial"/>
          <w:b/>
          <w:i/>
          <w:iCs/>
          <w:sz w:val="22"/>
          <w:szCs w:val="22"/>
        </w:rPr>
        <w:t>:</w:t>
      </w:r>
      <w:r w:rsidRPr="007C4E5D">
        <w:rPr>
          <w:rFonts w:eastAsia="Calibri" w:cs="Arial"/>
          <w:bCs/>
          <w:i/>
          <w:iCs/>
          <w:sz w:val="22"/>
          <w:szCs w:val="22"/>
        </w:rPr>
        <w:t xml:space="preserve"> </w:t>
      </w:r>
      <w:r>
        <w:rPr>
          <w:rFonts w:eastAsia="Calibri" w:cs="Arial"/>
          <w:bCs/>
          <w:i/>
          <w:iCs/>
          <w:sz w:val="22"/>
          <w:szCs w:val="22"/>
        </w:rPr>
        <w:t>BWP inactivity timer enhancement is not needed for NR-NTN with FRF&gt;1 in Rel-17.</w:t>
      </w:r>
    </w:p>
    <w:p w14:paraId="0DA2B8A4" w14:textId="4D1EDD2D" w:rsidR="007C0FCE" w:rsidRPr="000F21E9" w:rsidRDefault="004E19FE" w:rsidP="00C6277A">
      <w:pPr>
        <w:tabs>
          <w:tab w:val="left" w:pos="0"/>
        </w:tabs>
        <w:rPr>
          <w:sz w:val="22"/>
        </w:rPr>
      </w:pPr>
      <w:r w:rsidRPr="007C4E5D">
        <w:rPr>
          <w:rFonts w:eastAsia="Calibri" w:cs="Arial"/>
          <w:b/>
          <w:i/>
          <w:iCs/>
          <w:sz w:val="22"/>
          <w:szCs w:val="22"/>
        </w:rPr>
        <w:t xml:space="preserve">Proposal </w:t>
      </w:r>
      <w:r>
        <w:rPr>
          <w:rFonts w:eastAsia="Calibri" w:cs="Arial"/>
          <w:b/>
          <w:i/>
          <w:iCs/>
          <w:sz w:val="22"/>
          <w:szCs w:val="22"/>
        </w:rPr>
        <w:t>3</w:t>
      </w:r>
      <w:r w:rsidRPr="007C4E5D">
        <w:rPr>
          <w:rFonts w:eastAsia="Calibri" w:cs="Arial"/>
          <w:b/>
          <w:i/>
          <w:iCs/>
          <w:sz w:val="22"/>
          <w:szCs w:val="22"/>
        </w:rPr>
        <w:t>:</w:t>
      </w:r>
      <w:r w:rsidRPr="007C4E5D">
        <w:rPr>
          <w:rFonts w:eastAsia="Calibri" w:cs="Arial"/>
          <w:bCs/>
          <w:i/>
          <w:iCs/>
          <w:sz w:val="22"/>
          <w:szCs w:val="22"/>
        </w:rPr>
        <w:t xml:space="preserve"> </w:t>
      </w:r>
      <w:r>
        <w:rPr>
          <w:rFonts w:eastAsia="Calibri" w:cs="Arial"/>
          <w:bCs/>
          <w:i/>
          <w:iCs/>
          <w:sz w:val="22"/>
          <w:szCs w:val="22"/>
        </w:rPr>
        <w:t>BFR enhancement is not supported irrespective of FRF in Rel-17.</w:t>
      </w:r>
    </w:p>
    <w:p w14:paraId="377E0382" w14:textId="77777777" w:rsidR="00214E6A" w:rsidRPr="004A1A95" w:rsidRDefault="00214E6A" w:rsidP="00214E6A">
      <w:pPr>
        <w:pStyle w:val="Heading1"/>
      </w:pPr>
      <w:r w:rsidRPr="004A1A95">
        <w:t>References</w:t>
      </w:r>
    </w:p>
    <w:p w14:paraId="20FAD5CC" w14:textId="16377CCE" w:rsidR="00BB249D" w:rsidRDefault="00BB249D" w:rsidP="001802C8">
      <w:pPr>
        <w:pStyle w:val="ListParagraph"/>
        <w:numPr>
          <w:ilvl w:val="0"/>
          <w:numId w:val="15"/>
        </w:numPr>
        <w:spacing w:before="120"/>
        <w:jc w:val="both"/>
        <w:rPr>
          <w:rFonts w:ascii="Arial" w:hAnsi="Arial" w:cs="Arial"/>
        </w:rPr>
      </w:pPr>
      <w:bookmarkStart w:id="1" w:name="_Ref521518965"/>
      <w:r>
        <w:rPr>
          <w:rFonts w:ascii="Arial" w:hAnsi="Arial" w:cs="Arial"/>
        </w:rPr>
        <w:t xml:space="preserve">R1-2109881, “On beam management for NTN”, </w:t>
      </w:r>
      <w:proofErr w:type="spellStart"/>
      <w:r>
        <w:rPr>
          <w:rFonts w:ascii="Arial" w:hAnsi="Arial" w:cs="Arial"/>
        </w:rPr>
        <w:t>InterDigital</w:t>
      </w:r>
      <w:proofErr w:type="spellEnd"/>
      <w:r>
        <w:rPr>
          <w:rFonts w:ascii="Arial" w:hAnsi="Arial" w:cs="Arial"/>
        </w:rPr>
        <w:t>, Inc.</w:t>
      </w:r>
    </w:p>
    <w:p w14:paraId="2265B772" w14:textId="282FF01A" w:rsidR="00697E1B" w:rsidRPr="001802C8" w:rsidRDefault="00E60A1B" w:rsidP="001802C8">
      <w:pPr>
        <w:pStyle w:val="ListParagraph"/>
        <w:numPr>
          <w:ilvl w:val="0"/>
          <w:numId w:val="15"/>
        </w:numPr>
        <w:spacing w:before="120"/>
        <w:jc w:val="both"/>
        <w:rPr>
          <w:rFonts w:ascii="Arial" w:hAnsi="Arial" w:cs="Arial"/>
        </w:rPr>
      </w:pPr>
      <w:r w:rsidRPr="008924A3">
        <w:rPr>
          <w:rFonts w:ascii="Arial" w:hAnsi="Arial" w:cs="Arial"/>
        </w:rPr>
        <w:t>RP-</w:t>
      </w:r>
      <w:r w:rsidR="00F961D5">
        <w:rPr>
          <w:rFonts w:ascii="Arial" w:hAnsi="Arial" w:cs="Arial"/>
        </w:rPr>
        <w:t>21</w:t>
      </w:r>
      <w:r w:rsidR="004E19FE">
        <w:rPr>
          <w:rFonts w:ascii="Arial" w:hAnsi="Arial" w:cs="Arial"/>
        </w:rPr>
        <w:t>1</w:t>
      </w:r>
      <w:r w:rsidR="00BB249D">
        <w:rPr>
          <w:rFonts w:ascii="Arial" w:hAnsi="Arial" w:cs="Arial"/>
        </w:rPr>
        <w:t>0570</w:t>
      </w:r>
      <w:r w:rsidRPr="008924A3">
        <w:rPr>
          <w:rFonts w:ascii="Arial" w:hAnsi="Arial" w:cs="Arial"/>
        </w:rPr>
        <w:t>, “</w:t>
      </w:r>
      <w:r w:rsidR="00F961D5">
        <w:rPr>
          <w:rFonts w:ascii="Arial" w:hAnsi="Arial" w:cs="Arial"/>
        </w:rPr>
        <w:t xml:space="preserve">Summary#2 of </w:t>
      </w:r>
      <w:r w:rsidR="00BB249D">
        <w:rPr>
          <w:rFonts w:ascii="Arial" w:hAnsi="Arial" w:cs="Arial"/>
        </w:rPr>
        <w:t>the discussion on other enhancements</w:t>
      </w:r>
      <w:r w:rsidRPr="008924A3">
        <w:rPr>
          <w:rFonts w:ascii="Arial" w:hAnsi="Arial" w:cs="Arial"/>
        </w:rPr>
        <w:t xml:space="preserve">”, </w:t>
      </w:r>
      <w:bookmarkEnd w:id="1"/>
      <w:r w:rsidR="001802C8">
        <w:rPr>
          <w:rFonts w:ascii="Arial" w:hAnsi="Arial" w:cs="Arial"/>
        </w:rPr>
        <w:t>Moderator (Oppo)</w:t>
      </w:r>
    </w:p>
    <w:sectPr w:rsidR="00697E1B" w:rsidRPr="001802C8">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1369A" w14:textId="77777777" w:rsidR="00C14FAF" w:rsidRDefault="00C14FAF">
      <w:pPr>
        <w:spacing w:after="0"/>
      </w:pPr>
      <w:r>
        <w:separator/>
      </w:r>
    </w:p>
  </w:endnote>
  <w:endnote w:type="continuationSeparator" w:id="0">
    <w:p w14:paraId="2FE87301" w14:textId="77777777" w:rsidR="00C14FAF" w:rsidRDefault="00C14F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CB642D" w:rsidRDefault="00214E6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C1EEA" w14:textId="77777777" w:rsidR="00C14FAF" w:rsidRDefault="00C14FAF">
      <w:pPr>
        <w:spacing w:after="0"/>
      </w:pPr>
      <w:r>
        <w:separator/>
      </w:r>
    </w:p>
  </w:footnote>
  <w:footnote w:type="continuationSeparator" w:id="0">
    <w:p w14:paraId="0BA69180" w14:textId="77777777" w:rsidR="00C14FAF" w:rsidRDefault="00C14FA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0398C"/>
    <w:multiLevelType w:val="hybridMultilevel"/>
    <w:tmpl w:val="C57CD488"/>
    <w:lvl w:ilvl="0" w:tplc="9CF4D1DE">
      <w:start w:val="5"/>
      <w:numFmt w:val="decimal"/>
      <w:lvlText w:val="%1."/>
      <w:lvlJc w:val="left"/>
      <w:pPr>
        <w:ind w:left="360" w:hanging="360"/>
      </w:pPr>
      <w:rPr>
        <w:rFonts w:hint="default"/>
      </w:rPr>
    </w:lvl>
    <w:lvl w:ilvl="1" w:tplc="04090019" w:tentative="1">
      <w:start w:val="1"/>
      <w:numFmt w:val="lowerLetter"/>
      <w:lvlText w:val="%2."/>
      <w:lvlJc w:val="left"/>
      <w:pPr>
        <w:ind w:left="181" w:hanging="360"/>
      </w:p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1" w15:restartNumberingAfterBreak="0">
    <w:nsid w:val="02552047"/>
    <w:multiLevelType w:val="multilevel"/>
    <w:tmpl w:val="FA1EF81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D26A44"/>
    <w:multiLevelType w:val="hybridMultilevel"/>
    <w:tmpl w:val="FF3A1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AA17592"/>
    <w:multiLevelType w:val="hybridMultilevel"/>
    <w:tmpl w:val="414EA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C03647"/>
    <w:multiLevelType w:val="hybridMultilevel"/>
    <w:tmpl w:val="EA961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84F81"/>
    <w:multiLevelType w:val="hybridMultilevel"/>
    <w:tmpl w:val="BAB438AE"/>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971195"/>
    <w:multiLevelType w:val="hybridMultilevel"/>
    <w:tmpl w:val="6D7CB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52565A"/>
    <w:multiLevelType w:val="hybridMultilevel"/>
    <w:tmpl w:val="0B120056"/>
    <w:lvl w:ilvl="0" w:tplc="E72ABA64">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E2616D"/>
    <w:multiLevelType w:val="hybridMultilevel"/>
    <w:tmpl w:val="DC4E1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37178D"/>
    <w:multiLevelType w:val="hybridMultilevel"/>
    <w:tmpl w:val="88E43446"/>
    <w:lvl w:ilvl="0" w:tplc="D7DCBE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B4A4163"/>
    <w:multiLevelType w:val="hybridMultilevel"/>
    <w:tmpl w:val="4CE20C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E532C7D"/>
    <w:multiLevelType w:val="hybridMultilevel"/>
    <w:tmpl w:val="F578A3B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73655A"/>
    <w:multiLevelType w:val="hybridMultilevel"/>
    <w:tmpl w:val="064C1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F442FB3"/>
    <w:multiLevelType w:val="hybridMultilevel"/>
    <w:tmpl w:val="2AAC63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06A2B69"/>
    <w:multiLevelType w:val="hybridMultilevel"/>
    <w:tmpl w:val="31AE6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180C02"/>
    <w:multiLevelType w:val="hybridMultilevel"/>
    <w:tmpl w:val="B1F45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E3002A"/>
    <w:multiLevelType w:val="hybridMultilevel"/>
    <w:tmpl w:val="69AC4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AC13F8"/>
    <w:multiLevelType w:val="hybridMultilevel"/>
    <w:tmpl w:val="8264DE62"/>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322049"/>
    <w:multiLevelType w:val="hybridMultilevel"/>
    <w:tmpl w:val="4A60A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9253E8"/>
    <w:multiLevelType w:val="hybridMultilevel"/>
    <w:tmpl w:val="70DE70DE"/>
    <w:lvl w:ilvl="0" w:tplc="9CF4D1DE">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C520A9"/>
    <w:multiLevelType w:val="hybridMultilevel"/>
    <w:tmpl w:val="45FE98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6C5A6B"/>
    <w:multiLevelType w:val="hybridMultilevel"/>
    <w:tmpl w:val="1F0EC900"/>
    <w:lvl w:ilvl="0" w:tplc="04090001">
      <w:start w:val="1"/>
      <w:numFmt w:val="bullet"/>
      <w:lvlText w:val=""/>
      <w:lvlJc w:val="left"/>
      <w:pPr>
        <w:ind w:left="779" w:hanging="360"/>
      </w:pPr>
      <w:rPr>
        <w:rFonts w:ascii="Symbol" w:hAnsi="Symbol" w:hint="default"/>
      </w:rPr>
    </w:lvl>
    <w:lvl w:ilvl="1" w:tplc="04090003">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8"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
  </w:num>
  <w:num w:numId="2">
    <w:abstractNumId w:val="17"/>
  </w:num>
  <w:num w:numId="3">
    <w:abstractNumId w:val="19"/>
  </w:num>
  <w:num w:numId="4">
    <w:abstractNumId w:val="28"/>
  </w:num>
  <w:num w:numId="5">
    <w:abstractNumId w:val="9"/>
  </w:num>
  <w:num w:numId="6">
    <w:abstractNumId w:val="25"/>
  </w:num>
  <w:num w:numId="7">
    <w:abstractNumId w:val="20"/>
  </w:num>
  <w:num w:numId="8">
    <w:abstractNumId w:val="0"/>
  </w:num>
  <w:num w:numId="9">
    <w:abstractNumId w:val="23"/>
  </w:num>
  <w:num w:numId="10">
    <w:abstractNumId w:val="24"/>
  </w:num>
  <w:num w:numId="11">
    <w:abstractNumId w:val="15"/>
  </w:num>
  <w:num w:numId="12">
    <w:abstractNumId w:val="7"/>
  </w:num>
  <w:num w:numId="13">
    <w:abstractNumId w:val="11"/>
  </w:num>
  <w:num w:numId="14">
    <w:abstractNumId w:val="5"/>
  </w:num>
  <w:num w:numId="15">
    <w:abstractNumId w:val="12"/>
  </w:num>
  <w:num w:numId="16">
    <w:abstractNumId w:val="18"/>
  </w:num>
  <w:num w:numId="17">
    <w:abstractNumId w:val="3"/>
  </w:num>
  <w:num w:numId="18">
    <w:abstractNumId w:val="13"/>
  </w:num>
  <w:num w:numId="19">
    <w:abstractNumId w:val="22"/>
  </w:num>
  <w:num w:numId="20">
    <w:abstractNumId w:val="14"/>
  </w:num>
  <w:num w:numId="21">
    <w:abstractNumId w:val="21"/>
  </w:num>
  <w:num w:numId="22">
    <w:abstractNumId w:val="2"/>
  </w:num>
  <w:num w:numId="23">
    <w:abstractNumId w:val="26"/>
  </w:num>
  <w:num w:numId="24">
    <w:abstractNumId w:val="8"/>
  </w:num>
  <w:num w:numId="25">
    <w:abstractNumId w:val="6"/>
  </w:num>
  <w:num w:numId="26">
    <w:abstractNumId w:val="10"/>
  </w:num>
  <w:num w:numId="27">
    <w:abstractNumId w:val="16"/>
  </w:num>
  <w:num w:numId="28">
    <w:abstractNumId w:val="1"/>
  </w:num>
  <w:num w:numId="29">
    <w:abstractNumId w:val="1"/>
  </w:num>
  <w:num w:numId="30">
    <w:abstractNumId w:val="1"/>
  </w:num>
  <w:num w:numId="31">
    <w:abstractNumId w:val="1"/>
  </w:num>
  <w:num w:numId="32">
    <w:abstractNumId w:val="27"/>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hideGrammaticalErrors/>
  <w:proofState w:spelling="clean" w:grammar="clean"/>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1445"/>
    <w:rsid w:val="00012284"/>
    <w:rsid w:val="00013648"/>
    <w:rsid w:val="0001669D"/>
    <w:rsid w:val="000600DC"/>
    <w:rsid w:val="00061F39"/>
    <w:rsid w:val="00064052"/>
    <w:rsid w:val="000674C7"/>
    <w:rsid w:val="0008793C"/>
    <w:rsid w:val="00087E45"/>
    <w:rsid w:val="00090C55"/>
    <w:rsid w:val="00090FD9"/>
    <w:rsid w:val="00091494"/>
    <w:rsid w:val="000A1519"/>
    <w:rsid w:val="000B29DD"/>
    <w:rsid w:val="000B3CE8"/>
    <w:rsid w:val="000B3F22"/>
    <w:rsid w:val="000B4290"/>
    <w:rsid w:val="000B6BB1"/>
    <w:rsid w:val="000C18C9"/>
    <w:rsid w:val="000D1CD0"/>
    <w:rsid w:val="000D22F9"/>
    <w:rsid w:val="000F21E9"/>
    <w:rsid w:val="001001A8"/>
    <w:rsid w:val="00134B59"/>
    <w:rsid w:val="00142DE2"/>
    <w:rsid w:val="00143787"/>
    <w:rsid w:val="00166C9B"/>
    <w:rsid w:val="001802C8"/>
    <w:rsid w:val="001965BA"/>
    <w:rsid w:val="001A3F2D"/>
    <w:rsid w:val="001B4722"/>
    <w:rsid w:val="001C59D8"/>
    <w:rsid w:val="00214E6A"/>
    <w:rsid w:val="00225F54"/>
    <w:rsid w:val="002471D9"/>
    <w:rsid w:val="0024763F"/>
    <w:rsid w:val="0025073D"/>
    <w:rsid w:val="002676F9"/>
    <w:rsid w:val="00280F7B"/>
    <w:rsid w:val="00281912"/>
    <w:rsid w:val="00283DB7"/>
    <w:rsid w:val="002A067C"/>
    <w:rsid w:val="002B026A"/>
    <w:rsid w:val="002C4C84"/>
    <w:rsid w:val="002C7497"/>
    <w:rsid w:val="002D3C8A"/>
    <w:rsid w:val="002F165E"/>
    <w:rsid w:val="002F3704"/>
    <w:rsid w:val="002F7E3F"/>
    <w:rsid w:val="00303C9C"/>
    <w:rsid w:val="003070E8"/>
    <w:rsid w:val="003240E9"/>
    <w:rsid w:val="00324B49"/>
    <w:rsid w:val="00330B3E"/>
    <w:rsid w:val="00335629"/>
    <w:rsid w:val="003456EF"/>
    <w:rsid w:val="00347139"/>
    <w:rsid w:val="00347F72"/>
    <w:rsid w:val="00383D4F"/>
    <w:rsid w:val="0039750E"/>
    <w:rsid w:val="003A2C98"/>
    <w:rsid w:val="003C1923"/>
    <w:rsid w:val="003D058D"/>
    <w:rsid w:val="003D2B16"/>
    <w:rsid w:val="003F1681"/>
    <w:rsid w:val="004040A2"/>
    <w:rsid w:val="00404C76"/>
    <w:rsid w:val="00433DA1"/>
    <w:rsid w:val="00435BAC"/>
    <w:rsid w:val="00440C2E"/>
    <w:rsid w:val="004504CB"/>
    <w:rsid w:val="00451891"/>
    <w:rsid w:val="004573F9"/>
    <w:rsid w:val="00461D37"/>
    <w:rsid w:val="004738A5"/>
    <w:rsid w:val="004A0764"/>
    <w:rsid w:val="004C42B2"/>
    <w:rsid w:val="004E08DF"/>
    <w:rsid w:val="004E19FE"/>
    <w:rsid w:val="004E32A3"/>
    <w:rsid w:val="00511D70"/>
    <w:rsid w:val="005155EB"/>
    <w:rsid w:val="00526FD1"/>
    <w:rsid w:val="00534B3E"/>
    <w:rsid w:val="005546C1"/>
    <w:rsid w:val="005722BA"/>
    <w:rsid w:val="00572EDB"/>
    <w:rsid w:val="005817E8"/>
    <w:rsid w:val="0058637E"/>
    <w:rsid w:val="005C1BAB"/>
    <w:rsid w:val="005F2F59"/>
    <w:rsid w:val="005F4760"/>
    <w:rsid w:val="0061085E"/>
    <w:rsid w:val="00626355"/>
    <w:rsid w:val="006319F9"/>
    <w:rsid w:val="0063295F"/>
    <w:rsid w:val="00642F4B"/>
    <w:rsid w:val="0064330C"/>
    <w:rsid w:val="00665910"/>
    <w:rsid w:val="00695E9D"/>
    <w:rsid w:val="00697E1B"/>
    <w:rsid w:val="006A0172"/>
    <w:rsid w:val="006A1A4D"/>
    <w:rsid w:val="006B1ECA"/>
    <w:rsid w:val="006F02C5"/>
    <w:rsid w:val="0070274C"/>
    <w:rsid w:val="00702A2B"/>
    <w:rsid w:val="0070783F"/>
    <w:rsid w:val="00710564"/>
    <w:rsid w:val="00721025"/>
    <w:rsid w:val="007607D1"/>
    <w:rsid w:val="00774669"/>
    <w:rsid w:val="00782864"/>
    <w:rsid w:val="00791C04"/>
    <w:rsid w:val="007B4EAD"/>
    <w:rsid w:val="007C0E22"/>
    <w:rsid w:val="007C0FCE"/>
    <w:rsid w:val="007C4E5D"/>
    <w:rsid w:val="007F08C6"/>
    <w:rsid w:val="007F30FF"/>
    <w:rsid w:val="008029C6"/>
    <w:rsid w:val="008167F5"/>
    <w:rsid w:val="008237B8"/>
    <w:rsid w:val="00827AF6"/>
    <w:rsid w:val="0083388D"/>
    <w:rsid w:val="00835768"/>
    <w:rsid w:val="00845030"/>
    <w:rsid w:val="00876D3B"/>
    <w:rsid w:val="00894412"/>
    <w:rsid w:val="008955AA"/>
    <w:rsid w:val="008C0C61"/>
    <w:rsid w:val="008D0006"/>
    <w:rsid w:val="008F34C2"/>
    <w:rsid w:val="008F5A4A"/>
    <w:rsid w:val="00906039"/>
    <w:rsid w:val="009303A9"/>
    <w:rsid w:val="009325CB"/>
    <w:rsid w:val="009339C3"/>
    <w:rsid w:val="00960733"/>
    <w:rsid w:val="00977C46"/>
    <w:rsid w:val="00986558"/>
    <w:rsid w:val="009C4052"/>
    <w:rsid w:val="009D44E3"/>
    <w:rsid w:val="009F6550"/>
    <w:rsid w:val="00A0529A"/>
    <w:rsid w:val="00A24FC0"/>
    <w:rsid w:val="00A56D4B"/>
    <w:rsid w:val="00A725F4"/>
    <w:rsid w:val="00A95BF6"/>
    <w:rsid w:val="00AB3F44"/>
    <w:rsid w:val="00AB5C41"/>
    <w:rsid w:val="00AC0FB7"/>
    <w:rsid w:val="00AC1B18"/>
    <w:rsid w:val="00AC211F"/>
    <w:rsid w:val="00AC76A8"/>
    <w:rsid w:val="00AD7E3B"/>
    <w:rsid w:val="00AF2AFB"/>
    <w:rsid w:val="00B00581"/>
    <w:rsid w:val="00B03C97"/>
    <w:rsid w:val="00B414B8"/>
    <w:rsid w:val="00B642AA"/>
    <w:rsid w:val="00B652F5"/>
    <w:rsid w:val="00B854AD"/>
    <w:rsid w:val="00BB249D"/>
    <w:rsid w:val="00BD1ADF"/>
    <w:rsid w:val="00BD435D"/>
    <w:rsid w:val="00BE3ABB"/>
    <w:rsid w:val="00BE5E9F"/>
    <w:rsid w:val="00BE6342"/>
    <w:rsid w:val="00BF14F9"/>
    <w:rsid w:val="00C14FAF"/>
    <w:rsid w:val="00C330FE"/>
    <w:rsid w:val="00C45318"/>
    <w:rsid w:val="00C5021B"/>
    <w:rsid w:val="00C53F50"/>
    <w:rsid w:val="00C6277A"/>
    <w:rsid w:val="00CA5205"/>
    <w:rsid w:val="00CB738A"/>
    <w:rsid w:val="00CC6386"/>
    <w:rsid w:val="00CD05AE"/>
    <w:rsid w:val="00CD1545"/>
    <w:rsid w:val="00CD556B"/>
    <w:rsid w:val="00D37768"/>
    <w:rsid w:val="00D52628"/>
    <w:rsid w:val="00D56247"/>
    <w:rsid w:val="00D62C03"/>
    <w:rsid w:val="00D91E82"/>
    <w:rsid w:val="00DA1030"/>
    <w:rsid w:val="00DB5942"/>
    <w:rsid w:val="00DC27C8"/>
    <w:rsid w:val="00DC53C9"/>
    <w:rsid w:val="00E013C6"/>
    <w:rsid w:val="00E20F98"/>
    <w:rsid w:val="00E225AC"/>
    <w:rsid w:val="00E23AC6"/>
    <w:rsid w:val="00E30291"/>
    <w:rsid w:val="00E32783"/>
    <w:rsid w:val="00E34132"/>
    <w:rsid w:val="00E36AD3"/>
    <w:rsid w:val="00E50B7C"/>
    <w:rsid w:val="00E5386D"/>
    <w:rsid w:val="00E53B64"/>
    <w:rsid w:val="00E60A1B"/>
    <w:rsid w:val="00E633F1"/>
    <w:rsid w:val="00E71553"/>
    <w:rsid w:val="00E7243F"/>
    <w:rsid w:val="00E74749"/>
    <w:rsid w:val="00E9634D"/>
    <w:rsid w:val="00EB5786"/>
    <w:rsid w:val="00EB6B0E"/>
    <w:rsid w:val="00EC198E"/>
    <w:rsid w:val="00EC61DF"/>
    <w:rsid w:val="00ED3E53"/>
    <w:rsid w:val="00ED5307"/>
    <w:rsid w:val="00EE283B"/>
    <w:rsid w:val="00EF6B55"/>
    <w:rsid w:val="00F00A92"/>
    <w:rsid w:val="00F961D5"/>
    <w:rsid w:val="00FA29D0"/>
    <w:rsid w:val="00FA7F3F"/>
    <w:rsid w:val="00FB72FB"/>
    <w:rsid w:val="00FD7468"/>
    <w:rsid w:val="00FE04E4"/>
    <w:rsid w:val="00FF5766"/>
    <w:rsid w:val="354CD241"/>
    <w:rsid w:val="76DC37E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E6A"/>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semiHidden/>
    <w:unhideWhenUsed/>
    <w:rsid w:val="00214E6A"/>
    <w:pPr>
      <w:tabs>
        <w:tab w:val="center" w:pos="4680"/>
        <w:tab w:val="right" w:pos="9360"/>
      </w:tabs>
      <w:spacing w:after="0"/>
    </w:pPr>
  </w:style>
  <w:style w:type="character" w:customStyle="1" w:styleId="HeaderChar">
    <w:name w:val="Header Char"/>
    <w:basedOn w:val="DefaultParagraphFont"/>
    <w:link w:val="Header"/>
    <w:uiPriority w:val="99"/>
    <w:semiHidden/>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styleId="BalloonText">
    <w:name w:val="Balloon Text"/>
    <w:basedOn w:val="Normal"/>
    <w:link w:val="BalloonTextChar"/>
    <w:uiPriority w:val="99"/>
    <w:semiHidden/>
    <w:unhideWhenUsed/>
    <w:rsid w:val="00D91E82"/>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D91E82"/>
    <w:rPr>
      <w:rFonts w:ascii="Times New Roman" w:eastAsia="Times New Roman" w:hAnsi="Times New Roman" w:cs="Times New Roman"/>
      <w:sz w:val="18"/>
      <w:szCs w:val="18"/>
      <w:lang w:val="en-GB" w:eastAsia="zh-CN"/>
    </w:rPr>
  </w:style>
  <w:style w:type="character" w:styleId="CommentReference">
    <w:name w:val="annotation reference"/>
    <w:basedOn w:val="DefaultParagraphFont"/>
    <w:uiPriority w:val="99"/>
    <w:semiHidden/>
    <w:unhideWhenUsed/>
    <w:rsid w:val="00EF6B55"/>
    <w:rPr>
      <w:sz w:val="16"/>
      <w:szCs w:val="16"/>
    </w:rPr>
  </w:style>
  <w:style w:type="paragraph" w:styleId="CommentText">
    <w:name w:val="annotation text"/>
    <w:basedOn w:val="Normal"/>
    <w:link w:val="CommentTextChar"/>
    <w:uiPriority w:val="99"/>
    <w:unhideWhenUsed/>
    <w:rsid w:val="00EF6B55"/>
  </w:style>
  <w:style w:type="character" w:customStyle="1" w:styleId="CommentTextChar">
    <w:name w:val="Comment Text Char"/>
    <w:basedOn w:val="DefaultParagraphFont"/>
    <w:link w:val="CommentText"/>
    <w:uiPriority w:val="99"/>
    <w:rsid w:val="00EF6B55"/>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F6B55"/>
    <w:rPr>
      <w:b/>
      <w:bCs/>
    </w:rPr>
  </w:style>
  <w:style w:type="character" w:customStyle="1" w:styleId="CommentSubjectChar">
    <w:name w:val="Comment Subject Char"/>
    <w:basedOn w:val="CommentTextChar"/>
    <w:link w:val="CommentSubject"/>
    <w:uiPriority w:val="99"/>
    <w:semiHidden/>
    <w:rsid w:val="00EF6B55"/>
    <w:rPr>
      <w:rFonts w:ascii="Arial" w:eastAsia="Times New Roman" w:hAnsi="Arial" w:cs="Times New Roman"/>
      <w:b/>
      <w:bCs/>
      <w:sz w:val="20"/>
      <w:szCs w:val="20"/>
      <w:lang w:val="en-GB" w:eastAsia="zh-CN"/>
    </w:rPr>
  </w:style>
  <w:style w:type="paragraph" w:styleId="Revision">
    <w:name w:val="Revision"/>
    <w:hidden/>
    <w:uiPriority w:val="99"/>
    <w:semiHidden/>
    <w:rsid w:val="003D058D"/>
    <w:pPr>
      <w:spacing w:after="0" w:line="240" w:lineRule="auto"/>
    </w:pPr>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277E761-7190-48C1-9170-A29FC39FB6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926E2D-CEFB-452D-BA0D-51C09AE4F5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1171</Words>
  <Characters>6679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7835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문일 이</cp:lastModifiedBy>
  <cp:revision>2</cp:revision>
  <dcterms:created xsi:type="dcterms:W3CDTF">2021-11-05T21:59:00Z</dcterms:created>
  <dcterms:modified xsi:type="dcterms:W3CDTF">2021-11-05T21:59:00Z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